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03E" w14:textId="77777777" w:rsidR="00FC3444" w:rsidRDefault="00FC3444" w:rsidP="004C00CB">
      <w:pPr>
        <w:jc w:val="center"/>
        <w:rPr>
          <w:rFonts w:ascii="Times New Roman" w:hAnsi="Times New Roman" w:cs="Times New Roman"/>
          <w:b/>
          <w:bCs/>
          <w:sz w:val="28"/>
          <w:szCs w:val="28"/>
          <w:lang w:val="en-GB"/>
        </w:rPr>
      </w:pPr>
      <w:r w:rsidRPr="009E4410">
        <w:rPr>
          <w:rFonts w:ascii="Times New Roman" w:hAnsi="Times New Roman" w:cs="Times New Roman"/>
          <w:b/>
          <w:bCs/>
          <w:sz w:val="28"/>
          <w:szCs w:val="28"/>
          <w:lang w:val="en-GB"/>
        </w:rPr>
        <w:t>TITLE IN FONT 14 (TIMES NEW ROMAN) AND IN BOLD CAPITAL LETTERS</w:t>
      </w:r>
    </w:p>
    <w:p w14:paraId="517AC692" w14:textId="77777777" w:rsidR="00FC3444" w:rsidRDefault="00FC3444" w:rsidP="004C00CB">
      <w:pPr>
        <w:jc w:val="center"/>
        <w:rPr>
          <w:rFonts w:ascii="Times New Roman" w:hAnsi="Times New Roman" w:cs="Times New Roman"/>
          <w:b/>
          <w:bCs/>
          <w:lang w:val="en-GB"/>
        </w:rPr>
      </w:pPr>
    </w:p>
    <w:p w14:paraId="6E20A62E" w14:textId="77777777" w:rsidR="00FC3444" w:rsidRDefault="00FC3444" w:rsidP="004C00CB">
      <w:pPr>
        <w:jc w:val="center"/>
        <w:rPr>
          <w:rFonts w:ascii="Times New Roman" w:hAnsi="Times New Roman" w:cs="Times New Roman"/>
        </w:rPr>
      </w:pPr>
      <w:r w:rsidRPr="009E4410">
        <w:rPr>
          <w:rFonts w:ascii="Times New Roman" w:hAnsi="Times New Roman" w:cs="Times New Roman"/>
          <w:u w:val="single"/>
        </w:rPr>
        <w:t>P. Petrović</w:t>
      </w:r>
      <w:r w:rsidRPr="009E4410">
        <w:rPr>
          <w:rFonts w:ascii="Times New Roman" w:hAnsi="Times New Roman" w:cs="Times New Roman"/>
        </w:rPr>
        <w:t xml:space="preserve"> </w:t>
      </w:r>
      <w:r w:rsidRPr="009E4410">
        <w:rPr>
          <w:rFonts w:ascii="Times New Roman" w:hAnsi="Times New Roman" w:cs="Times New Roman"/>
          <w:vertAlign w:val="superscript"/>
        </w:rPr>
        <w:t>1</w:t>
      </w:r>
      <w:r w:rsidRPr="009E4410">
        <w:rPr>
          <w:rFonts w:ascii="Times New Roman" w:hAnsi="Times New Roman" w:cs="Times New Roman"/>
        </w:rPr>
        <w:t xml:space="preserve">, P. </w:t>
      </w:r>
      <w:proofErr w:type="spellStart"/>
      <w:r w:rsidRPr="009E4410">
        <w:rPr>
          <w:rFonts w:ascii="Times New Roman" w:hAnsi="Times New Roman" w:cs="Times New Roman"/>
        </w:rPr>
        <w:t>Khazaeli</w:t>
      </w:r>
      <w:proofErr w:type="spellEnd"/>
      <w:r w:rsidRPr="009E4410">
        <w:rPr>
          <w:rFonts w:ascii="Times New Roman" w:hAnsi="Times New Roman" w:cs="Times New Roman"/>
        </w:rPr>
        <w:t xml:space="preserve">-Parsa </w:t>
      </w:r>
      <w:r w:rsidRPr="009E4410">
        <w:rPr>
          <w:rFonts w:ascii="Times New Roman" w:hAnsi="Times New Roman" w:cs="Times New Roman"/>
          <w:vertAlign w:val="superscript"/>
        </w:rPr>
        <w:t>2</w:t>
      </w:r>
      <w:r w:rsidRPr="009E4410">
        <w:rPr>
          <w:rFonts w:ascii="Times New Roman" w:hAnsi="Times New Roman" w:cs="Times New Roman"/>
        </w:rPr>
        <w:t xml:space="preserve">, V. Hubscher </w:t>
      </w:r>
      <w:r w:rsidRPr="009E4410">
        <w:rPr>
          <w:rFonts w:ascii="Times New Roman" w:hAnsi="Times New Roman" w:cs="Times New Roman"/>
          <w:vertAlign w:val="superscript"/>
        </w:rPr>
        <w:t>3</w:t>
      </w:r>
      <w:r w:rsidRPr="009E4410">
        <w:rPr>
          <w:rFonts w:ascii="Times New Roman" w:hAnsi="Times New Roman" w:cs="Times New Roman"/>
        </w:rPr>
        <w:t xml:space="preserve"> and F. Arnaud-Neu </w:t>
      </w:r>
      <w:r w:rsidRPr="009E4410">
        <w:rPr>
          <w:rFonts w:ascii="Times New Roman" w:hAnsi="Times New Roman" w:cs="Times New Roman"/>
          <w:vertAlign w:val="superscript"/>
        </w:rPr>
        <w:t>3</w:t>
      </w:r>
      <w:r w:rsidRPr="009E4410">
        <w:rPr>
          <w:rFonts w:ascii="Times New Roman" w:hAnsi="Times New Roman" w:cs="Times New Roman"/>
        </w:rPr>
        <w:t> </w:t>
      </w:r>
    </w:p>
    <w:p w14:paraId="75941610" w14:textId="77777777" w:rsidR="00FC3444" w:rsidRDefault="00FC3444" w:rsidP="004C00CB">
      <w:pPr>
        <w:jc w:val="center"/>
        <w:rPr>
          <w:rFonts w:ascii="Times New Roman" w:hAnsi="Times New Roman" w:cs="Times New Roman"/>
          <w:b/>
          <w:bCs/>
          <w:lang w:val="en-GB"/>
        </w:rPr>
      </w:pPr>
    </w:p>
    <w:p w14:paraId="4D1F5E9F" w14:textId="77777777" w:rsidR="00FC3444" w:rsidRPr="009E4410" w:rsidRDefault="00FC3444" w:rsidP="004C00CB">
      <w:pPr>
        <w:keepNext/>
        <w:jc w:val="center"/>
        <w:rPr>
          <w:rFonts w:ascii="Times New Roman" w:hAnsi="Times New Roman" w:cs="Times New Roman"/>
          <w:i/>
          <w:iCs/>
        </w:rPr>
      </w:pPr>
      <w:r w:rsidRPr="009E4410">
        <w:rPr>
          <w:rFonts w:ascii="Times New Roman" w:hAnsi="Times New Roman" w:cs="Times New Roman"/>
          <w:i/>
          <w:iCs/>
          <w:vertAlign w:val="superscript"/>
        </w:rPr>
        <w:t xml:space="preserve">1 </w:t>
      </w:r>
      <w:r w:rsidRPr="009E4410">
        <w:rPr>
          <w:rFonts w:ascii="Times New Roman" w:hAnsi="Times New Roman" w:cs="Times New Roman"/>
          <w:i/>
          <w:iCs/>
        </w:rPr>
        <w:t>University of Belgrade, Institute of Chemistry, Technology and Metallurgy,</w:t>
      </w:r>
    </w:p>
    <w:p w14:paraId="477DC883" w14:textId="77777777" w:rsidR="00FC3444" w:rsidRPr="009E4410" w:rsidRDefault="00FC3444" w:rsidP="004C00CB">
      <w:pPr>
        <w:keepNext/>
        <w:jc w:val="center"/>
        <w:rPr>
          <w:rFonts w:ascii="Times New Roman" w:hAnsi="Times New Roman" w:cs="Times New Roman"/>
          <w:i/>
          <w:iCs/>
          <w:vertAlign w:val="superscript"/>
        </w:rPr>
      </w:pPr>
      <w:r w:rsidRPr="009E4410">
        <w:rPr>
          <w:rFonts w:ascii="Times New Roman" w:hAnsi="Times New Roman" w:cs="Times New Roman"/>
          <w:i/>
          <w:iCs/>
        </w:rPr>
        <w:t xml:space="preserve"> </w:t>
      </w:r>
      <w:proofErr w:type="spellStart"/>
      <w:r w:rsidRPr="009E4410">
        <w:rPr>
          <w:rFonts w:ascii="Times New Roman" w:hAnsi="Times New Roman" w:cs="Times New Roman"/>
          <w:i/>
          <w:iCs/>
        </w:rPr>
        <w:t>Njegoševa</w:t>
      </w:r>
      <w:proofErr w:type="spellEnd"/>
      <w:r w:rsidRPr="009E4410">
        <w:rPr>
          <w:rFonts w:ascii="Times New Roman" w:hAnsi="Times New Roman" w:cs="Times New Roman"/>
          <w:i/>
          <w:iCs/>
        </w:rPr>
        <w:t xml:space="preserve"> 12, 11000 Belgrade, Serbia. </w:t>
      </w:r>
      <w:r w:rsidRPr="009E4410">
        <w:rPr>
          <w:rFonts w:ascii="Times New Roman" w:hAnsi="Times New Roman" w:cs="Times New Roman"/>
          <w:i/>
          <w:iCs/>
          <w:lang w:val="fr-FR"/>
        </w:rPr>
        <w:t>(</w:t>
      </w:r>
      <w:proofErr w:type="gramStart"/>
      <w:r w:rsidRPr="009E4410">
        <w:rPr>
          <w:rFonts w:ascii="Times New Roman" w:hAnsi="Times New Roman" w:cs="Times New Roman"/>
          <w:i/>
          <w:iCs/>
        </w:rPr>
        <w:t>username@ihtm.bg.ac.rs</w:t>
      </w:r>
      <w:proofErr w:type="gramEnd"/>
      <w:r w:rsidRPr="009E4410">
        <w:rPr>
          <w:rFonts w:ascii="Times New Roman" w:hAnsi="Times New Roman" w:cs="Times New Roman"/>
          <w:i/>
          <w:iCs/>
        </w:rPr>
        <w:t>)</w:t>
      </w:r>
    </w:p>
    <w:p w14:paraId="3F821FC2" w14:textId="77777777" w:rsidR="00FC3444" w:rsidRPr="009E4410" w:rsidRDefault="00FC3444" w:rsidP="004C00CB">
      <w:pPr>
        <w:keepNext/>
        <w:jc w:val="center"/>
        <w:rPr>
          <w:rFonts w:ascii="Times New Roman" w:hAnsi="Times New Roman" w:cs="Times New Roman"/>
          <w:i/>
          <w:iCs/>
        </w:rPr>
      </w:pPr>
      <w:r w:rsidRPr="009E4410">
        <w:rPr>
          <w:rFonts w:ascii="Times New Roman" w:hAnsi="Times New Roman" w:cs="Times New Roman"/>
          <w:i/>
          <w:iCs/>
          <w:vertAlign w:val="superscript"/>
        </w:rPr>
        <w:t>2</w:t>
      </w:r>
      <w:r w:rsidRPr="009E4410">
        <w:rPr>
          <w:rFonts w:ascii="Times New Roman" w:hAnsi="Times New Roman" w:cs="Times New Roman"/>
          <w:i/>
          <w:iCs/>
        </w:rPr>
        <w:t>Chemistry Department, Islamic Azad University-North Tehran Branch,</w:t>
      </w:r>
    </w:p>
    <w:p w14:paraId="7E092AF7" w14:textId="77777777" w:rsidR="00FC3444" w:rsidRPr="009E4410" w:rsidRDefault="00FC3444" w:rsidP="004C00CB">
      <w:pPr>
        <w:keepNext/>
        <w:jc w:val="center"/>
        <w:rPr>
          <w:rFonts w:ascii="Times New Roman" w:hAnsi="Times New Roman" w:cs="Times New Roman"/>
          <w:i/>
          <w:iCs/>
          <w:vertAlign w:val="superscript"/>
          <w:lang w:val="fr-FR"/>
        </w:rPr>
      </w:pPr>
      <w:r w:rsidRPr="009E4410">
        <w:rPr>
          <w:rFonts w:ascii="Times New Roman" w:hAnsi="Times New Roman" w:cs="Times New Roman"/>
          <w:i/>
          <w:iCs/>
        </w:rPr>
        <w:t xml:space="preserve"> ‎Daftari-</w:t>
      </w:r>
      <w:proofErr w:type="spellStart"/>
      <w:r w:rsidRPr="009E4410">
        <w:rPr>
          <w:rFonts w:ascii="Times New Roman" w:hAnsi="Times New Roman" w:cs="Times New Roman"/>
          <w:i/>
          <w:iCs/>
        </w:rPr>
        <w:t>Sharghi</w:t>
      </w:r>
      <w:proofErr w:type="spellEnd"/>
      <w:r w:rsidRPr="009E4410">
        <w:rPr>
          <w:rFonts w:ascii="Times New Roman" w:hAnsi="Times New Roman" w:cs="Times New Roman"/>
          <w:i/>
          <w:iCs/>
        </w:rPr>
        <w:t xml:space="preserve"> alley,‎ Shariati St., Tehran-IRAN.</w:t>
      </w:r>
    </w:p>
    <w:p w14:paraId="40C24F99" w14:textId="77777777" w:rsidR="00FC3444" w:rsidRPr="009E4410" w:rsidRDefault="00FC3444" w:rsidP="004C00CB">
      <w:pPr>
        <w:keepNext/>
        <w:jc w:val="center"/>
        <w:rPr>
          <w:rFonts w:ascii="Times New Roman" w:hAnsi="Times New Roman" w:cs="Times New Roman"/>
          <w:i/>
          <w:iCs/>
          <w:lang w:val="fr-FR"/>
        </w:rPr>
      </w:pPr>
      <w:r w:rsidRPr="009E4410">
        <w:rPr>
          <w:rFonts w:ascii="Times New Roman" w:hAnsi="Times New Roman" w:cs="Times New Roman"/>
          <w:i/>
          <w:iCs/>
          <w:vertAlign w:val="superscript"/>
          <w:lang w:val="fr-FR"/>
        </w:rPr>
        <w:t>3</w:t>
      </w:r>
      <w:r w:rsidRPr="009E4410">
        <w:rPr>
          <w:rFonts w:ascii="Times New Roman" w:hAnsi="Times New Roman" w:cs="Times New Roman"/>
          <w:i/>
          <w:iCs/>
          <w:lang w:val="fr-FR"/>
        </w:rPr>
        <w:t>Laboratoire de Chimie-Physique, UMR 7512 (CNRS-ULP),</w:t>
      </w:r>
    </w:p>
    <w:p w14:paraId="797482CF" w14:textId="77777777" w:rsidR="00FC3444" w:rsidRPr="009E4410" w:rsidRDefault="00FC3444" w:rsidP="004C00CB">
      <w:pPr>
        <w:keepNext/>
        <w:jc w:val="center"/>
        <w:rPr>
          <w:rFonts w:ascii="Times New Roman" w:hAnsi="Times New Roman" w:cs="Times New Roman"/>
          <w:i/>
          <w:iCs/>
          <w:lang w:val="fr-FR"/>
        </w:rPr>
      </w:pPr>
      <w:r w:rsidRPr="009E4410">
        <w:rPr>
          <w:rFonts w:ascii="Times New Roman" w:hAnsi="Times New Roman" w:cs="Times New Roman"/>
          <w:i/>
          <w:iCs/>
          <w:lang w:val="fr-FR"/>
        </w:rPr>
        <w:t xml:space="preserve"> 25, rue Becquerel 67087 Strasbourg Cedex 02, France.</w:t>
      </w:r>
    </w:p>
    <w:p w14:paraId="05CB446D" w14:textId="77777777" w:rsidR="00FC3444" w:rsidRDefault="00FC3444" w:rsidP="004C00CB">
      <w:pPr>
        <w:jc w:val="both"/>
        <w:rPr>
          <w:rFonts w:ascii="Times New Roman" w:hAnsi="Times New Roman" w:cs="Times New Roman"/>
          <w:b/>
          <w:bCs/>
          <w:lang w:val="en-GB"/>
        </w:rPr>
      </w:pPr>
    </w:p>
    <w:p w14:paraId="620CBB93" w14:textId="77777777" w:rsidR="00FC3444" w:rsidRPr="00E6514C" w:rsidRDefault="00FC3444" w:rsidP="004C00CB">
      <w:pPr>
        <w:pStyle w:val="paper"/>
        <w:rPr>
          <w:sz w:val="24"/>
          <w:szCs w:val="24"/>
        </w:rPr>
      </w:pPr>
      <w:r w:rsidRPr="00E6514C">
        <w:rPr>
          <w:b/>
          <w:bCs/>
          <w:sz w:val="24"/>
          <w:szCs w:val="24"/>
        </w:rPr>
        <w:t>ABSTRACT</w:t>
      </w:r>
    </w:p>
    <w:p w14:paraId="1D84D62A" w14:textId="77777777" w:rsidR="00FC3444" w:rsidRPr="009E4410" w:rsidRDefault="00FC3444" w:rsidP="004C00CB">
      <w:pPr>
        <w:jc w:val="both"/>
        <w:rPr>
          <w:rFonts w:ascii="Times New Roman" w:hAnsi="Times New Roman" w:cs="Times New Roman"/>
        </w:rPr>
      </w:pPr>
      <w:r w:rsidRPr="009E4410">
        <w:rPr>
          <w:rFonts w:ascii="Times New Roman" w:hAnsi="Times New Roman" w:cs="Times New Roman"/>
        </w:rPr>
        <w:t>These Instructions should serve as a guide for preparing camera-ready papers for the 1</w:t>
      </w:r>
      <w:r>
        <w:rPr>
          <w:rFonts w:ascii="Times New Roman" w:hAnsi="Times New Roman" w:cs="Times New Roman"/>
        </w:rPr>
        <w:t>6</w:t>
      </w:r>
      <w:r w:rsidRPr="00FC3444">
        <w:rPr>
          <w:rFonts w:ascii="Times New Roman" w:hAnsi="Times New Roman" w:cs="Times New Roman"/>
          <w:vertAlign w:val="superscript"/>
        </w:rPr>
        <w:t xml:space="preserve">th </w:t>
      </w:r>
      <w:r w:rsidRPr="009E4410">
        <w:rPr>
          <w:rFonts w:ascii="Times New Roman" w:hAnsi="Times New Roman" w:cs="Times New Roman"/>
        </w:rPr>
        <w:t>International Conference on Fundamental and Applied Aspects of Physical Chemistry, PHYSICAL CHEMISTRY 202</w:t>
      </w:r>
      <w:r>
        <w:rPr>
          <w:rFonts w:ascii="Times New Roman" w:hAnsi="Times New Roman" w:cs="Times New Roman"/>
        </w:rPr>
        <w:t>2</w:t>
      </w:r>
      <w:r w:rsidRPr="009E4410">
        <w:rPr>
          <w:rFonts w:ascii="Times New Roman" w:hAnsi="Times New Roman" w:cs="Times New Roman"/>
        </w:rPr>
        <w:t xml:space="preserve">. The recommended word processor is MS Word. The abstract should contain </w:t>
      </w:r>
      <w:proofErr w:type="spellStart"/>
      <w:r w:rsidRPr="009E4410">
        <w:rPr>
          <w:rFonts w:ascii="Times New Roman" w:hAnsi="Times New Roman" w:cs="Times New Roman"/>
        </w:rPr>
        <w:t>not</w:t>
      </w:r>
      <w:proofErr w:type="spellEnd"/>
      <w:r w:rsidRPr="009E4410">
        <w:rPr>
          <w:rFonts w:ascii="Times New Roman" w:hAnsi="Times New Roman" w:cs="Times New Roman"/>
        </w:rPr>
        <w:t xml:space="preserve"> more than 1,000 characters (including spaces) and should not include references. The use of special characters and formulas in the abstract should be avoided.</w:t>
      </w:r>
    </w:p>
    <w:p w14:paraId="0C18C1FB" w14:textId="77777777" w:rsidR="00FC3444" w:rsidRDefault="00FC3444" w:rsidP="004C00CB">
      <w:pPr>
        <w:jc w:val="both"/>
        <w:rPr>
          <w:rFonts w:ascii="Times New Roman" w:hAnsi="Times New Roman" w:cs="Times New Roman"/>
          <w:b/>
          <w:bCs/>
          <w:lang w:val="en-GB"/>
        </w:rPr>
      </w:pPr>
    </w:p>
    <w:p w14:paraId="2CD680EB" w14:textId="77777777" w:rsidR="00FC3444" w:rsidRPr="00E6514C" w:rsidRDefault="00FC3444" w:rsidP="004C00CB">
      <w:pPr>
        <w:pStyle w:val="paper"/>
        <w:rPr>
          <w:sz w:val="24"/>
          <w:szCs w:val="24"/>
        </w:rPr>
      </w:pPr>
      <w:r w:rsidRPr="00E6514C">
        <w:rPr>
          <w:b/>
          <w:bCs/>
          <w:sz w:val="24"/>
          <w:szCs w:val="24"/>
        </w:rPr>
        <w:t>INTRODUCTION</w:t>
      </w:r>
    </w:p>
    <w:p w14:paraId="3C1C7CD5" w14:textId="17D2527A" w:rsidR="00FC3444" w:rsidRPr="00FC3444" w:rsidRDefault="00FC3444" w:rsidP="004C00CB">
      <w:pPr>
        <w:autoSpaceDE w:val="0"/>
        <w:autoSpaceDN w:val="0"/>
        <w:adjustRightInd w:val="0"/>
        <w:jc w:val="both"/>
        <w:rPr>
          <w:rFonts w:ascii="Times New Roman" w:hAnsi="Times New Roman" w:cs="Times New Roman"/>
          <w:bCs/>
        </w:rPr>
      </w:pPr>
      <w:r w:rsidRPr="00FC3444">
        <w:rPr>
          <w:rFonts w:ascii="Times New Roman" w:hAnsi="Times New Roman" w:cs="Times New Roman"/>
          <w:bCs/>
        </w:rPr>
        <w:t xml:space="preserve">The authors are kindly asked to respect the </w:t>
      </w:r>
      <w:proofErr w:type="gramStart"/>
      <w:r w:rsidRPr="00FC3444">
        <w:rPr>
          <w:rFonts w:ascii="Times New Roman" w:hAnsi="Times New Roman" w:cs="Times New Roman"/>
          <w:bCs/>
        </w:rPr>
        <w:t>all</w:t>
      </w:r>
      <w:proofErr w:type="gramEnd"/>
      <w:r w:rsidRPr="00FC3444">
        <w:rPr>
          <w:rFonts w:ascii="Times New Roman" w:hAnsi="Times New Roman" w:cs="Times New Roman"/>
          <w:bCs/>
        </w:rPr>
        <w:t xml:space="preserve"> proposition of the paper. </w:t>
      </w:r>
      <w:r w:rsidRPr="00761DE9">
        <w:rPr>
          <w:rFonts w:ascii="Times New Roman" w:hAnsi="Times New Roman" w:cs="Times New Roman"/>
          <w:b/>
          <w:i/>
          <w:iCs/>
        </w:rPr>
        <w:t>Otherwise, the paper will be immediately returned for technical revision before sending to reviewer</w:t>
      </w:r>
      <w:r w:rsidRPr="00FC3444">
        <w:rPr>
          <w:rFonts w:ascii="Times New Roman" w:hAnsi="Times New Roman" w:cs="Times New Roman"/>
          <w:bCs/>
        </w:rPr>
        <w:t xml:space="preserve">. The proposition includes strict four-page limit for the regular papers and 8 pages limit for the invited papers (including abstract, introduction, results and discussion, and conclusion) in A4 format singly spaced. </w:t>
      </w:r>
      <w:r w:rsidRPr="00FC3444">
        <w:rPr>
          <w:rFonts w:ascii="Times New Roman" w:hAnsi="Times New Roman" w:cs="Times New Roman"/>
          <w:b/>
          <w:bCs/>
          <w:i/>
        </w:rPr>
        <w:t>Margins of 3 cm on the top and bottom should be left and 2 cm on both right and left of the text.</w:t>
      </w:r>
      <w:r w:rsidRPr="00FC3444">
        <w:rPr>
          <w:rFonts w:ascii="Times New Roman" w:hAnsi="Times New Roman" w:cs="Times New Roman"/>
          <w:bCs/>
        </w:rPr>
        <w:t xml:space="preserve"> The paragraphs should be indented 5 mm, except the first one in each heading. The title should be centered at the first page of the manuscript and written in font 14 (Times New Roman) and in bold capital letters. The rest of the text should be in 12- point fonts (Times New Roman) justified. The author’s names should be given as initials followed by surname: P. Petrović, I. N. Bubanja, C. B. Delgado, J. P. Hsu.  Name of the corresponding author should be</w:t>
      </w:r>
      <w:r w:rsidR="00761DE9">
        <w:rPr>
          <w:rFonts w:ascii="Times New Roman" w:hAnsi="Times New Roman" w:cs="Times New Roman"/>
          <w:bCs/>
        </w:rPr>
        <w:t xml:space="preserve"> </w:t>
      </w:r>
      <w:proofErr w:type="gramStart"/>
      <w:r w:rsidRPr="00FC3444">
        <w:rPr>
          <w:rFonts w:ascii="Times New Roman" w:hAnsi="Times New Roman" w:cs="Times New Roman"/>
          <w:bCs/>
        </w:rPr>
        <w:t>underlined</w:t>
      </w:r>
      <w:proofErr w:type="gramEnd"/>
      <w:r w:rsidRPr="00FC3444">
        <w:rPr>
          <w:rFonts w:ascii="Times New Roman" w:hAnsi="Times New Roman" w:cs="Times New Roman"/>
          <w:bCs/>
        </w:rPr>
        <w:t xml:space="preserve"> and his/her e-mail address should be given with other affiliation details. The author’s address (with indication of the corresponding University, where it is appropriate) should be given in italics. The title and names of authors should be followed by the abstract of the paper. The section titles of the paper should be typed in 12-point bold capital letters. References to the literature within text should be placed in square brackets: [1], [2], …, and cited at the end of the text. </w:t>
      </w:r>
      <w:r w:rsidR="004C00CB">
        <w:rPr>
          <w:rFonts w:ascii="Times New Roman" w:hAnsi="Times New Roman" w:cs="Times New Roman"/>
          <w:bCs/>
        </w:rPr>
        <w:t>(</w:t>
      </w:r>
      <w:proofErr w:type="gramStart"/>
      <w:r w:rsidR="004C00CB" w:rsidRPr="004C00CB">
        <w:rPr>
          <w:rFonts w:ascii="Times New Roman" w:hAnsi="Times New Roman" w:cs="Times New Roman"/>
          <w:b/>
          <w:i/>
          <w:iCs/>
        </w:rPr>
        <w:t>references</w:t>
      </w:r>
      <w:proofErr w:type="gramEnd"/>
      <w:r w:rsidR="004C00CB" w:rsidRPr="004C00CB">
        <w:rPr>
          <w:rFonts w:ascii="Times New Roman" w:hAnsi="Times New Roman" w:cs="Times New Roman"/>
          <w:b/>
          <w:i/>
          <w:iCs/>
        </w:rPr>
        <w:t xml:space="preserve"> should be given as in the example at the end of the text</w:t>
      </w:r>
      <w:r w:rsidR="004C00CB">
        <w:rPr>
          <w:rFonts w:ascii="Times New Roman" w:hAnsi="Times New Roman" w:cs="Times New Roman"/>
          <w:bCs/>
        </w:rPr>
        <w:t>)</w:t>
      </w:r>
    </w:p>
    <w:p w14:paraId="2BEDB978" w14:textId="77777777" w:rsidR="004C707E" w:rsidRPr="004C707E" w:rsidRDefault="004C707E" w:rsidP="004C00CB">
      <w:pPr>
        <w:autoSpaceDE w:val="0"/>
        <w:autoSpaceDN w:val="0"/>
        <w:adjustRightInd w:val="0"/>
        <w:ind w:firstLine="284"/>
        <w:jc w:val="both"/>
        <w:rPr>
          <w:rFonts w:ascii="Times New Roman" w:hAnsi="Times New Roman" w:cs="Times New Roman"/>
          <w:bCs/>
        </w:rPr>
      </w:pPr>
      <w:r w:rsidRPr="004C707E">
        <w:rPr>
          <w:rFonts w:ascii="Times New Roman" w:hAnsi="Times New Roman" w:cs="Times New Roman"/>
          <w:bCs/>
        </w:rPr>
        <w:t xml:space="preserve">Illustration (tables, figures, photographs, etc.) must be inserted into the text as a picture with at least 300 dpi and no larger than 12.5 cm width and 18 cm height including the caption (please allow 12 pts for each line of caption text). Tables must stay within text margins, too. Table caption and number should be given above each table, centered. Figure captions should be given at the bottom of each figure. The style of table and figure captions should be identical. Figure lettering should be done in a character not smaller than 12 pt. in final version of figure.  </w:t>
      </w:r>
    </w:p>
    <w:p w14:paraId="59F0EC03" w14:textId="77777777" w:rsidR="004C707E" w:rsidRPr="004C707E" w:rsidRDefault="004C707E" w:rsidP="004C00CB">
      <w:pPr>
        <w:autoSpaceDE w:val="0"/>
        <w:autoSpaceDN w:val="0"/>
        <w:adjustRightInd w:val="0"/>
        <w:ind w:firstLine="284"/>
        <w:jc w:val="both"/>
        <w:rPr>
          <w:rFonts w:ascii="Times New Roman" w:hAnsi="Times New Roman" w:cs="Times New Roman"/>
          <w:bCs/>
        </w:rPr>
      </w:pPr>
      <w:r w:rsidRPr="004C707E">
        <w:rPr>
          <w:rFonts w:ascii="Times New Roman" w:hAnsi="Times New Roman" w:cs="Times New Roman"/>
          <w:bCs/>
        </w:rPr>
        <w:t>Submission of paper to our Conference assumes that all coauthors are informed and that these results are not submitted or published in any other Conference or scientific journal in the same form. It is full responsibility of the corresponding author.</w:t>
      </w:r>
    </w:p>
    <w:p w14:paraId="0A9B0A82" w14:textId="77777777" w:rsidR="00FC3444" w:rsidRDefault="00FC3444" w:rsidP="004C00CB">
      <w:pPr>
        <w:jc w:val="both"/>
        <w:rPr>
          <w:rFonts w:ascii="Times New Roman" w:hAnsi="Times New Roman" w:cs="Times New Roman"/>
          <w:b/>
          <w:bCs/>
          <w:lang w:val="en-GB"/>
        </w:rPr>
      </w:pPr>
    </w:p>
    <w:p w14:paraId="78EEC16A" w14:textId="77777777" w:rsidR="004C707E" w:rsidRDefault="004C707E" w:rsidP="004C00CB">
      <w:pPr>
        <w:jc w:val="both"/>
        <w:rPr>
          <w:rFonts w:ascii="Times New Roman" w:hAnsi="Times New Roman" w:cs="Times New Roman"/>
          <w:b/>
          <w:bCs/>
          <w:lang w:val="en-GB"/>
        </w:rPr>
      </w:pPr>
      <w:r>
        <w:rPr>
          <w:rFonts w:ascii="Times New Roman" w:hAnsi="Times New Roman" w:cs="Times New Roman"/>
          <w:b/>
          <w:bCs/>
          <w:lang w:val="en-GB"/>
        </w:rPr>
        <w:t>METHODS</w:t>
      </w:r>
    </w:p>
    <w:p w14:paraId="7A7EF571" w14:textId="77777777" w:rsidR="004C707E" w:rsidRPr="00130300" w:rsidRDefault="004C707E" w:rsidP="004C00CB">
      <w:pPr>
        <w:jc w:val="both"/>
        <w:rPr>
          <w:rFonts w:ascii="Times New Roman" w:hAnsi="Times New Roman" w:cs="Times New Roman"/>
        </w:rPr>
      </w:pPr>
      <w:r w:rsidRPr="00130300">
        <w:rPr>
          <w:rFonts w:ascii="Times New Roman" w:hAnsi="Times New Roman" w:cs="Times New Roman"/>
        </w:rPr>
        <w:t>The papers should</w:t>
      </w:r>
      <w:r>
        <w:rPr>
          <w:rFonts w:ascii="Times New Roman" w:hAnsi="Times New Roman" w:cs="Times New Roman"/>
        </w:rPr>
        <w:t xml:space="preserve"> be submitted by e-mail (paper16</w:t>
      </w:r>
      <w:r w:rsidRPr="00130300">
        <w:rPr>
          <w:rFonts w:ascii="Times New Roman" w:hAnsi="Times New Roman" w:cs="Times New Roman"/>
        </w:rPr>
        <w:t>@socphyschemserb.org) before May 31, 20</w:t>
      </w:r>
      <w:r>
        <w:rPr>
          <w:rFonts w:ascii="Times New Roman" w:hAnsi="Times New Roman" w:cs="Times New Roman"/>
        </w:rPr>
        <w:t>22</w:t>
      </w:r>
      <w:r w:rsidRPr="00130300">
        <w:rPr>
          <w:rFonts w:ascii="Times New Roman" w:hAnsi="Times New Roman" w:cs="Times New Roman"/>
        </w:rPr>
        <w:t xml:space="preserve">. The papers received after that deadline cannot be guaranteed the publication in the Conference </w:t>
      </w:r>
      <w:r w:rsidRPr="00130300">
        <w:rPr>
          <w:rFonts w:ascii="Times New Roman" w:hAnsi="Times New Roman" w:cs="Times New Roman"/>
        </w:rPr>
        <w:lastRenderedPageBreak/>
        <w:t xml:space="preserve">Proceedings. </w:t>
      </w:r>
      <w:r w:rsidRPr="00130300">
        <w:rPr>
          <w:rFonts w:ascii="Times New Roman" w:hAnsi="Times New Roman" w:cs="Times New Roman"/>
          <w:bCs/>
        </w:rPr>
        <w:t xml:space="preserve">The authors are limited to no more than three regular contributions and one invited lecture. Invited lectures will be printed in full-length (eight pages maximum). </w:t>
      </w:r>
    </w:p>
    <w:p w14:paraId="739AECA7" w14:textId="77777777" w:rsidR="004C707E" w:rsidRPr="00130300" w:rsidRDefault="004C707E" w:rsidP="004C00CB">
      <w:pPr>
        <w:ind w:firstLine="284"/>
        <w:jc w:val="both"/>
        <w:rPr>
          <w:rFonts w:ascii="Times New Roman" w:hAnsi="Times New Roman" w:cs="Times New Roman"/>
        </w:rPr>
      </w:pPr>
      <w:r w:rsidRPr="00130300">
        <w:rPr>
          <w:rFonts w:ascii="Times New Roman" w:hAnsi="Times New Roman" w:cs="Times New Roman"/>
        </w:rPr>
        <w:t xml:space="preserve">Participants from Serbia are kindly recommended to include one line of the Acknowledgement including the Project numbers. </w:t>
      </w:r>
    </w:p>
    <w:p w14:paraId="1975C592" w14:textId="77777777" w:rsidR="004C707E" w:rsidRDefault="004C707E" w:rsidP="004C00CB">
      <w:pPr>
        <w:ind w:firstLine="284"/>
        <w:jc w:val="both"/>
        <w:rPr>
          <w:rFonts w:ascii="Times New Roman" w:hAnsi="Times New Roman" w:cs="Times New Roman"/>
        </w:rPr>
      </w:pPr>
      <w:r w:rsidRPr="00577838">
        <w:rPr>
          <w:rFonts w:ascii="Times New Roman" w:hAnsi="Times New Roman" w:cs="Times New Roman"/>
        </w:rPr>
        <w:t>File title should be based on the surname of the first author, and if you submit more than one paper with the same first author, than add some ordinal number, next, add preferred type of presentation (poster or oral) and finally a letter identifying one preferred section (</w:t>
      </w:r>
      <w:proofErr w:type="spellStart"/>
      <w:r w:rsidRPr="00577838">
        <w:rPr>
          <w:rFonts w:ascii="Times New Roman" w:hAnsi="Times New Roman" w:cs="Times New Roman"/>
        </w:rPr>
        <w:t>eg.</w:t>
      </w:r>
      <w:proofErr w:type="spellEnd"/>
      <w:r w:rsidRPr="00577838">
        <w:rPr>
          <w:rFonts w:ascii="Times New Roman" w:hAnsi="Times New Roman" w:cs="Times New Roman"/>
        </w:rPr>
        <w:t xml:space="preserve"> Petrovic_3_oral_J.doc).</w:t>
      </w:r>
    </w:p>
    <w:p w14:paraId="5629321A" w14:textId="77777777" w:rsidR="001B55AA" w:rsidRDefault="001B55AA" w:rsidP="004C00CB">
      <w:pPr>
        <w:ind w:firstLine="284"/>
        <w:jc w:val="both"/>
        <w:rPr>
          <w:rFonts w:ascii="Times New Roman" w:hAnsi="Times New Roman" w:cs="Times New Roman"/>
          <w:b/>
          <w:i/>
          <w:shd w:val="clear" w:color="auto" w:fill="FFFF00"/>
        </w:rPr>
      </w:pPr>
      <w:r w:rsidRPr="00130300">
        <w:rPr>
          <w:rFonts w:ascii="Times New Roman" w:hAnsi="Times New Roman" w:cs="Times New Roman"/>
          <w:b/>
          <w:i/>
          <w:shd w:val="clear" w:color="auto" w:fill="FFFF00"/>
        </w:rPr>
        <w:t xml:space="preserve">Rest of the Template is sample text </w:t>
      </w:r>
      <w:r>
        <w:rPr>
          <w:rFonts w:ascii="Times New Roman" w:hAnsi="Times New Roman" w:cs="Times New Roman"/>
          <w:b/>
          <w:i/>
          <w:shd w:val="clear" w:color="auto" w:fill="FFFF00"/>
        </w:rPr>
        <w:t>with</w:t>
      </w:r>
      <w:r w:rsidR="000B33E9">
        <w:rPr>
          <w:rFonts w:ascii="Times New Roman" w:hAnsi="Times New Roman" w:cs="Times New Roman"/>
          <w:b/>
          <w:i/>
          <w:shd w:val="clear" w:color="auto" w:fill="FFFF00"/>
        </w:rPr>
        <w:t xml:space="preserve"> some</w:t>
      </w:r>
      <w:r>
        <w:rPr>
          <w:rFonts w:ascii="Times New Roman" w:hAnsi="Times New Roman" w:cs="Times New Roman"/>
          <w:b/>
          <w:i/>
          <w:shd w:val="clear" w:color="auto" w:fill="FFFF00"/>
        </w:rPr>
        <w:t xml:space="preserve"> examples of figure and table </w:t>
      </w:r>
      <w:r w:rsidRPr="00130300">
        <w:rPr>
          <w:rFonts w:ascii="Times New Roman" w:hAnsi="Times New Roman" w:cs="Times New Roman"/>
          <w:b/>
          <w:i/>
          <w:shd w:val="clear" w:color="auto" w:fill="FFFF00"/>
        </w:rPr>
        <w:t>given to fill-in four pages.</w:t>
      </w:r>
    </w:p>
    <w:p w14:paraId="0573F4E7" w14:textId="77777777" w:rsidR="001B55AA" w:rsidRDefault="001B55AA" w:rsidP="004C00CB">
      <w:pPr>
        <w:pStyle w:val="NormalWeb"/>
        <w:spacing w:before="0" w:beforeAutospacing="0" w:after="0" w:afterAutospacing="0"/>
        <w:ind w:firstLine="284"/>
        <w:jc w:val="both"/>
        <w:rPr>
          <w:shd w:val="clear" w:color="auto" w:fill="FFFFFF"/>
        </w:rPr>
      </w:pPr>
      <w:r w:rsidRPr="00E6514C">
        <w:rPr>
          <w:shd w:val="clear" w:color="auto" w:fill="FFFFFF"/>
        </w:rPr>
        <w:t>Samples were loaded onto 10</w:t>
      </w:r>
      <w:r w:rsidRPr="00E6514C">
        <w:t> </w:t>
      </w:r>
      <w:r w:rsidRPr="00E6514C">
        <w:rPr>
          <w:shd w:val="clear" w:color="auto" w:fill="FFFFFF"/>
        </w:rPr>
        <w:t xml:space="preserve">% SDS polyacrylamide gel, and electrophoresis was carried out using a mini protein system (Bio-Rad Laboratories, Inc., USA). The proteins were </w:t>
      </w:r>
      <w:proofErr w:type="spellStart"/>
      <w:r w:rsidRPr="00E6514C">
        <w:rPr>
          <w:shd w:val="clear" w:color="auto" w:fill="FFFFFF"/>
        </w:rPr>
        <w:t>electrophoretically</w:t>
      </w:r>
      <w:proofErr w:type="spellEnd"/>
      <w:r w:rsidRPr="00E6514C">
        <w:rPr>
          <w:shd w:val="clear" w:color="auto" w:fill="FFFFFF"/>
        </w:rPr>
        <w:t xml:space="preserve"> transferred onto PVDF membranes (</w:t>
      </w:r>
      <w:proofErr w:type="spellStart"/>
      <w:r w:rsidRPr="00E6514C">
        <w:rPr>
          <w:shd w:val="clear" w:color="auto" w:fill="FFFFFF"/>
        </w:rPr>
        <w:t>Imobilion</w:t>
      </w:r>
      <w:proofErr w:type="spellEnd"/>
      <w:r w:rsidRPr="00E6514C">
        <w:rPr>
          <w:shd w:val="clear" w:color="auto" w:fill="FFFFFF"/>
        </w:rPr>
        <w:t>-P membrane, Millipore, USA), blocked for 1h with 5</w:t>
      </w:r>
      <w:r w:rsidRPr="00E6514C">
        <w:t> </w:t>
      </w:r>
      <w:r w:rsidRPr="00E6514C">
        <w:rPr>
          <w:shd w:val="clear" w:color="auto" w:fill="FFFFFF"/>
        </w:rPr>
        <w:t>% BSA in TBST (50</w:t>
      </w:r>
      <w:r w:rsidRPr="00E6514C">
        <w:t> </w:t>
      </w:r>
      <w:r w:rsidRPr="00E6514C">
        <w:rPr>
          <w:shd w:val="clear" w:color="auto" w:fill="FFFFFF"/>
        </w:rPr>
        <w:t>mM Tris-HCl, pH</w:t>
      </w:r>
      <w:r w:rsidRPr="00E6514C">
        <w:t> </w:t>
      </w:r>
      <w:r w:rsidRPr="00E6514C">
        <w:rPr>
          <w:shd w:val="clear" w:color="auto" w:fill="FFFFFF"/>
        </w:rPr>
        <w:t>7.4, 150</w:t>
      </w:r>
      <w:r w:rsidRPr="00E6514C">
        <w:t> </w:t>
      </w:r>
      <w:r w:rsidRPr="00E6514C">
        <w:rPr>
          <w:shd w:val="clear" w:color="auto" w:fill="FFFFFF"/>
        </w:rPr>
        <w:t>mM NaCl, 0.1</w:t>
      </w:r>
      <w:r w:rsidRPr="00E6514C">
        <w:t> </w:t>
      </w:r>
      <w:r w:rsidRPr="00E6514C">
        <w:rPr>
          <w:shd w:val="clear" w:color="auto" w:fill="FFFFFF"/>
        </w:rPr>
        <w:t>% Tween 20), and incubated with primary and secondary antibodies (</w:t>
      </w:r>
      <w:r w:rsidRPr="00E6514C">
        <w:rPr>
          <w:b/>
          <w:shd w:val="clear" w:color="auto" w:fill="FFFFFF"/>
        </w:rPr>
        <w:t>Table 1</w:t>
      </w:r>
      <w:r w:rsidRPr="00E6514C">
        <w:rPr>
          <w:shd w:val="clear" w:color="auto" w:fill="FFFFFF"/>
        </w:rPr>
        <w:t>.).</w:t>
      </w:r>
    </w:p>
    <w:p w14:paraId="4C86F325" w14:textId="77777777" w:rsidR="001B55AA" w:rsidRDefault="001B55AA" w:rsidP="004C00CB">
      <w:pPr>
        <w:pStyle w:val="NormalWeb"/>
        <w:spacing w:before="0" w:beforeAutospacing="0" w:after="0" w:afterAutospacing="0"/>
        <w:ind w:firstLine="284"/>
        <w:jc w:val="both"/>
        <w:rPr>
          <w:shd w:val="clear" w:color="auto" w:fill="FFFFFF"/>
        </w:rPr>
      </w:pPr>
    </w:p>
    <w:p w14:paraId="702AB93E" w14:textId="77777777" w:rsidR="001B55AA" w:rsidRPr="00E6514C" w:rsidRDefault="001B55AA" w:rsidP="004C00CB">
      <w:pPr>
        <w:pStyle w:val="NormalWeb"/>
        <w:spacing w:before="0" w:beforeAutospacing="0" w:after="120" w:afterAutospacing="0"/>
        <w:ind w:firstLine="709"/>
      </w:pPr>
      <w:r w:rsidRPr="00E6514C">
        <w:rPr>
          <w:b/>
        </w:rPr>
        <w:t>Table 1.</w:t>
      </w:r>
      <w:r w:rsidRPr="00E6514C">
        <w:t xml:space="preserve"> List of primary and secondary antibodies used for Western blot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820"/>
        <w:gridCol w:w="2572"/>
      </w:tblGrid>
      <w:tr w:rsidR="001B55AA" w:rsidRPr="00E6514C" w14:paraId="3473E235" w14:textId="77777777" w:rsidTr="00B351EE">
        <w:trPr>
          <w:trHeight w:val="303"/>
          <w:jc w:val="center"/>
        </w:trPr>
        <w:tc>
          <w:tcPr>
            <w:tcW w:w="1417" w:type="dxa"/>
            <w:vAlign w:val="center"/>
          </w:tcPr>
          <w:p w14:paraId="32116175" w14:textId="77777777" w:rsidR="001B55AA" w:rsidRPr="00E6514C" w:rsidRDefault="001B55AA" w:rsidP="004C00CB">
            <w:pPr>
              <w:pStyle w:val="NormalWeb"/>
              <w:jc w:val="center"/>
              <w:rPr>
                <w:b/>
                <w:shd w:val="clear" w:color="auto" w:fill="FFFFFF"/>
              </w:rPr>
            </w:pPr>
            <w:r w:rsidRPr="00E6514C">
              <w:rPr>
                <w:b/>
                <w:shd w:val="clear" w:color="auto" w:fill="FFFFFF"/>
              </w:rPr>
              <w:t>Antigen</w:t>
            </w:r>
          </w:p>
        </w:tc>
        <w:tc>
          <w:tcPr>
            <w:tcW w:w="4820" w:type="dxa"/>
            <w:vAlign w:val="center"/>
          </w:tcPr>
          <w:p w14:paraId="5FD48890" w14:textId="77777777" w:rsidR="001B55AA" w:rsidRPr="00E6514C" w:rsidRDefault="001B55AA" w:rsidP="004C00CB">
            <w:pPr>
              <w:pStyle w:val="NormalWeb"/>
              <w:jc w:val="center"/>
              <w:rPr>
                <w:b/>
                <w:shd w:val="clear" w:color="auto" w:fill="FFFFFF"/>
              </w:rPr>
            </w:pPr>
            <w:r w:rsidRPr="00E6514C">
              <w:rPr>
                <w:b/>
                <w:shd w:val="clear" w:color="auto" w:fill="FFFFFF"/>
              </w:rPr>
              <w:t>Manufacturer and Catalog No</w:t>
            </w:r>
          </w:p>
        </w:tc>
        <w:tc>
          <w:tcPr>
            <w:tcW w:w="2572" w:type="dxa"/>
            <w:vAlign w:val="center"/>
          </w:tcPr>
          <w:p w14:paraId="7787EBF4" w14:textId="77777777" w:rsidR="001B55AA" w:rsidRPr="00E6514C" w:rsidRDefault="001B55AA" w:rsidP="004C00CB">
            <w:pPr>
              <w:pStyle w:val="NormalWeb"/>
              <w:jc w:val="center"/>
              <w:rPr>
                <w:b/>
                <w:shd w:val="clear" w:color="auto" w:fill="FFFFFF"/>
              </w:rPr>
            </w:pPr>
            <w:r w:rsidRPr="00E6514C">
              <w:rPr>
                <w:b/>
                <w:shd w:val="clear" w:color="auto" w:fill="FFFFFF"/>
              </w:rPr>
              <w:t>Species</w:t>
            </w:r>
          </w:p>
        </w:tc>
      </w:tr>
      <w:tr w:rsidR="001B55AA" w:rsidRPr="00E6514C" w14:paraId="0C6E3917" w14:textId="77777777" w:rsidTr="00B351EE">
        <w:trPr>
          <w:jc w:val="center"/>
        </w:trPr>
        <w:tc>
          <w:tcPr>
            <w:tcW w:w="1417" w:type="dxa"/>
            <w:vAlign w:val="center"/>
          </w:tcPr>
          <w:p w14:paraId="5CB9DAC0" w14:textId="77777777" w:rsidR="001B55AA" w:rsidRPr="00E6514C" w:rsidRDefault="001B55AA" w:rsidP="004C00CB">
            <w:pPr>
              <w:pStyle w:val="NormalWeb"/>
              <w:jc w:val="center"/>
            </w:pPr>
            <w:r w:rsidRPr="00E6514C">
              <w:rPr>
                <w:shd w:val="clear" w:color="auto" w:fill="FFFFFF"/>
              </w:rPr>
              <w:t>PSD 95</w:t>
            </w:r>
          </w:p>
        </w:tc>
        <w:tc>
          <w:tcPr>
            <w:tcW w:w="4820" w:type="dxa"/>
            <w:vAlign w:val="center"/>
          </w:tcPr>
          <w:p w14:paraId="6109ED3C" w14:textId="77777777" w:rsidR="001B55AA" w:rsidRPr="00E6514C" w:rsidRDefault="001B55AA" w:rsidP="004C00CB">
            <w:pPr>
              <w:pStyle w:val="NormalWeb"/>
              <w:jc w:val="center"/>
              <w:rPr>
                <w:shd w:val="clear" w:color="auto" w:fill="FFFFFF"/>
              </w:rPr>
            </w:pPr>
            <w:r w:rsidRPr="00E6514C">
              <w:rPr>
                <w:shd w:val="clear" w:color="auto" w:fill="FFFFFF"/>
              </w:rPr>
              <w:t>MAB1598, Merck Millipore Corporation, USA</w:t>
            </w:r>
          </w:p>
        </w:tc>
        <w:tc>
          <w:tcPr>
            <w:tcW w:w="2572" w:type="dxa"/>
            <w:vAlign w:val="center"/>
          </w:tcPr>
          <w:p w14:paraId="54DF0FCE" w14:textId="77777777" w:rsidR="001B55AA" w:rsidRPr="00E6514C" w:rsidRDefault="001B55AA" w:rsidP="004C00CB">
            <w:pPr>
              <w:pStyle w:val="NormalWeb"/>
              <w:jc w:val="center"/>
            </w:pPr>
            <w:r w:rsidRPr="00E6514C">
              <w:rPr>
                <w:shd w:val="clear" w:color="auto" w:fill="FFFFFF"/>
              </w:rPr>
              <w:t>mouse monoclonal</w:t>
            </w:r>
          </w:p>
        </w:tc>
      </w:tr>
      <w:tr w:rsidR="001B55AA" w:rsidRPr="00E6514C" w14:paraId="406F28FD" w14:textId="77777777" w:rsidTr="00B351EE">
        <w:trPr>
          <w:jc w:val="center"/>
        </w:trPr>
        <w:tc>
          <w:tcPr>
            <w:tcW w:w="1417" w:type="dxa"/>
            <w:vAlign w:val="center"/>
          </w:tcPr>
          <w:p w14:paraId="7B90E65E" w14:textId="77777777" w:rsidR="001B55AA" w:rsidRPr="00E6514C" w:rsidRDefault="001B55AA" w:rsidP="004C00CB">
            <w:pPr>
              <w:pStyle w:val="NormalWeb"/>
              <w:jc w:val="center"/>
            </w:pPr>
            <w:r w:rsidRPr="00E6514C">
              <w:rPr>
                <w:shd w:val="clear" w:color="auto" w:fill="FFFFFF"/>
              </w:rPr>
              <w:t>NR2B</w:t>
            </w:r>
          </w:p>
        </w:tc>
        <w:tc>
          <w:tcPr>
            <w:tcW w:w="4820" w:type="dxa"/>
            <w:vAlign w:val="center"/>
          </w:tcPr>
          <w:p w14:paraId="00E29B24" w14:textId="77777777" w:rsidR="001B55AA" w:rsidRPr="00E6514C" w:rsidRDefault="001B55AA" w:rsidP="004C00CB">
            <w:pPr>
              <w:pStyle w:val="NormalWeb"/>
              <w:jc w:val="center"/>
              <w:rPr>
                <w:shd w:val="clear" w:color="auto" w:fill="FFFFFF"/>
              </w:rPr>
            </w:pPr>
            <w:r w:rsidRPr="00E6514C">
              <w:rPr>
                <w:shd w:val="clear" w:color="auto" w:fill="FFFFFF"/>
              </w:rPr>
              <w:t>ab93610, Abcam, UK</w:t>
            </w:r>
          </w:p>
        </w:tc>
        <w:tc>
          <w:tcPr>
            <w:tcW w:w="2572" w:type="dxa"/>
            <w:vAlign w:val="center"/>
          </w:tcPr>
          <w:p w14:paraId="10665247" w14:textId="77777777" w:rsidR="001B55AA" w:rsidRPr="00E6514C" w:rsidRDefault="001B55AA" w:rsidP="004C00CB">
            <w:pPr>
              <w:pStyle w:val="NormalWeb"/>
              <w:jc w:val="center"/>
            </w:pPr>
            <w:r w:rsidRPr="00E6514C">
              <w:rPr>
                <w:shd w:val="clear" w:color="auto" w:fill="FFFFFF"/>
              </w:rPr>
              <w:t>mouse monoclonal</w:t>
            </w:r>
          </w:p>
        </w:tc>
      </w:tr>
      <w:tr w:rsidR="001B55AA" w:rsidRPr="00E6514C" w14:paraId="50AD2E1B" w14:textId="77777777" w:rsidTr="00B351EE">
        <w:trPr>
          <w:jc w:val="center"/>
        </w:trPr>
        <w:tc>
          <w:tcPr>
            <w:tcW w:w="1417" w:type="dxa"/>
            <w:vAlign w:val="center"/>
          </w:tcPr>
          <w:p w14:paraId="038443EC" w14:textId="77777777" w:rsidR="001B55AA" w:rsidRPr="00E6514C" w:rsidRDefault="001B55AA" w:rsidP="004C00CB">
            <w:pPr>
              <w:pStyle w:val="NormalWeb"/>
              <w:jc w:val="center"/>
            </w:pPr>
            <w:r w:rsidRPr="00E6514C">
              <w:rPr>
                <w:shd w:val="clear" w:color="auto" w:fill="FFFFFF"/>
              </w:rPr>
              <w:t>vGlut1</w:t>
            </w:r>
          </w:p>
        </w:tc>
        <w:tc>
          <w:tcPr>
            <w:tcW w:w="4820" w:type="dxa"/>
            <w:vAlign w:val="center"/>
          </w:tcPr>
          <w:p w14:paraId="042E73FA" w14:textId="77777777" w:rsidR="001B55AA" w:rsidRPr="00E6514C" w:rsidRDefault="001B55AA" w:rsidP="004C00CB">
            <w:pPr>
              <w:pStyle w:val="NormalWeb"/>
              <w:jc w:val="center"/>
              <w:rPr>
                <w:shd w:val="clear" w:color="auto" w:fill="FFFFFF"/>
              </w:rPr>
            </w:pPr>
            <w:r w:rsidRPr="00E6514C">
              <w:rPr>
                <w:shd w:val="clear" w:color="auto" w:fill="FFFFFF"/>
              </w:rPr>
              <w:t>ab134283, Abcam, UK</w:t>
            </w:r>
          </w:p>
        </w:tc>
        <w:tc>
          <w:tcPr>
            <w:tcW w:w="2572" w:type="dxa"/>
            <w:vAlign w:val="center"/>
          </w:tcPr>
          <w:p w14:paraId="0523FCFD" w14:textId="77777777" w:rsidR="001B55AA" w:rsidRPr="00E6514C" w:rsidRDefault="001B55AA" w:rsidP="004C00CB">
            <w:pPr>
              <w:pStyle w:val="NormalWeb"/>
              <w:jc w:val="center"/>
            </w:pPr>
            <w:r w:rsidRPr="00E6514C">
              <w:rPr>
                <w:shd w:val="clear" w:color="auto" w:fill="FFFFFF"/>
              </w:rPr>
              <w:t>mouse monoclonal</w:t>
            </w:r>
          </w:p>
        </w:tc>
      </w:tr>
      <w:tr w:rsidR="001B55AA" w:rsidRPr="00E6514C" w14:paraId="70CEEDD7" w14:textId="77777777" w:rsidTr="00B351EE">
        <w:trPr>
          <w:jc w:val="center"/>
        </w:trPr>
        <w:tc>
          <w:tcPr>
            <w:tcW w:w="1417" w:type="dxa"/>
            <w:vAlign w:val="center"/>
          </w:tcPr>
          <w:p w14:paraId="1ECEA47E" w14:textId="77777777" w:rsidR="001B55AA" w:rsidRPr="00E6514C" w:rsidRDefault="001B55AA" w:rsidP="004C00CB">
            <w:pPr>
              <w:pStyle w:val="NormalWeb"/>
              <w:jc w:val="center"/>
            </w:pPr>
            <w:r w:rsidRPr="00E6514C">
              <w:rPr>
                <w:shd w:val="clear" w:color="auto" w:fill="FFFFFF"/>
              </w:rPr>
              <w:t>β-actin</w:t>
            </w:r>
          </w:p>
        </w:tc>
        <w:tc>
          <w:tcPr>
            <w:tcW w:w="4820" w:type="dxa"/>
            <w:vAlign w:val="center"/>
          </w:tcPr>
          <w:p w14:paraId="788931B7" w14:textId="77777777" w:rsidR="001B55AA" w:rsidRPr="00E6514C" w:rsidRDefault="001B55AA" w:rsidP="004C00CB">
            <w:pPr>
              <w:pStyle w:val="NormalWeb"/>
              <w:jc w:val="center"/>
              <w:rPr>
                <w:shd w:val="clear" w:color="auto" w:fill="FFFFFF"/>
              </w:rPr>
            </w:pPr>
            <w:r w:rsidRPr="00E6514C">
              <w:rPr>
                <w:shd w:val="clear" w:color="auto" w:fill="FFFFFF"/>
              </w:rPr>
              <w:t>sc-1615, Santa Cruz Biotechnology</w:t>
            </w:r>
            <w:r w:rsidRPr="00E6514C">
              <w:t xml:space="preserve"> Inc., USA</w:t>
            </w:r>
          </w:p>
        </w:tc>
        <w:tc>
          <w:tcPr>
            <w:tcW w:w="2572" w:type="dxa"/>
            <w:vAlign w:val="center"/>
          </w:tcPr>
          <w:p w14:paraId="42451F4F" w14:textId="77777777" w:rsidR="001B55AA" w:rsidRPr="00E6514C" w:rsidRDefault="001B55AA" w:rsidP="004C00CB">
            <w:pPr>
              <w:pStyle w:val="NormalWeb"/>
              <w:jc w:val="center"/>
            </w:pPr>
            <w:r w:rsidRPr="00E6514C">
              <w:rPr>
                <w:shd w:val="clear" w:color="auto" w:fill="FFFFFF"/>
              </w:rPr>
              <w:t>goat polyclonal</w:t>
            </w:r>
          </w:p>
        </w:tc>
      </w:tr>
      <w:tr w:rsidR="001B55AA" w:rsidRPr="00E6514C" w14:paraId="08528C1A" w14:textId="77777777" w:rsidTr="00B351EE">
        <w:trPr>
          <w:jc w:val="center"/>
        </w:trPr>
        <w:tc>
          <w:tcPr>
            <w:tcW w:w="1417" w:type="dxa"/>
            <w:vAlign w:val="center"/>
          </w:tcPr>
          <w:p w14:paraId="4D8750A2" w14:textId="77777777" w:rsidR="001B55AA" w:rsidRPr="00E6514C" w:rsidRDefault="001B55AA" w:rsidP="004C00CB">
            <w:pPr>
              <w:pStyle w:val="NormalWeb"/>
              <w:jc w:val="center"/>
            </w:pPr>
            <w:r w:rsidRPr="00E6514C">
              <w:rPr>
                <w:shd w:val="clear" w:color="auto" w:fill="FFFFFF"/>
              </w:rPr>
              <w:t>mouse IgG</w:t>
            </w:r>
          </w:p>
        </w:tc>
        <w:tc>
          <w:tcPr>
            <w:tcW w:w="4820" w:type="dxa"/>
            <w:vAlign w:val="center"/>
          </w:tcPr>
          <w:p w14:paraId="5B2D36AF" w14:textId="77777777" w:rsidR="001B55AA" w:rsidRPr="00E6514C" w:rsidRDefault="001B55AA" w:rsidP="004C00CB">
            <w:pPr>
              <w:pStyle w:val="NormalWeb"/>
              <w:jc w:val="center"/>
              <w:rPr>
                <w:shd w:val="clear" w:color="auto" w:fill="FFFFFF"/>
              </w:rPr>
            </w:pPr>
            <w:r w:rsidRPr="00E6514C">
              <w:rPr>
                <w:shd w:val="clear" w:color="auto" w:fill="FFFFFF"/>
              </w:rPr>
              <w:t>sc-2318, Santa Cruz Biotechnology Inc., USA</w:t>
            </w:r>
          </w:p>
        </w:tc>
        <w:tc>
          <w:tcPr>
            <w:tcW w:w="2572" w:type="dxa"/>
            <w:vAlign w:val="center"/>
          </w:tcPr>
          <w:p w14:paraId="7097BDA0" w14:textId="77777777" w:rsidR="001B55AA" w:rsidRPr="00E6514C" w:rsidRDefault="001B55AA" w:rsidP="004C00CB">
            <w:pPr>
              <w:pStyle w:val="NormalWeb"/>
              <w:jc w:val="center"/>
              <w:rPr>
                <w:shd w:val="clear" w:color="auto" w:fill="FFFFFF"/>
              </w:rPr>
            </w:pPr>
            <w:r w:rsidRPr="00E6514C">
              <w:rPr>
                <w:shd w:val="clear" w:color="auto" w:fill="FFFFFF"/>
              </w:rPr>
              <w:t>donkey</w:t>
            </w:r>
          </w:p>
        </w:tc>
      </w:tr>
      <w:tr w:rsidR="001B55AA" w:rsidRPr="00E6514C" w14:paraId="1C89F618" w14:textId="77777777" w:rsidTr="00B351EE">
        <w:trPr>
          <w:jc w:val="center"/>
        </w:trPr>
        <w:tc>
          <w:tcPr>
            <w:tcW w:w="1417" w:type="dxa"/>
            <w:vAlign w:val="center"/>
          </w:tcPr>
          <w:p w14:paraId="61D5875A" w14:textId="77777777" w:rsidR="001B55AA" w:rsidRPr="00E6514C" w:rsidRDefault="001B55AA" w:rsidP="004C00CB">
            <w:pPr>
              <w:pStyle w:val="NormalWeb"/>
              <w:jc w:val="center"/>
            </w:pPr>
            <w:r w:rsidRPr="00E6514C">
              <w:rPr>
                <w:shd w:val="clear" w:color="auto" w:fill="FFFFFF"/>
              </w:rPr>
              <w:t>goat IgG</w:t>
            </w:r>
          </w:p>
        </w:tc>
        <w:tc>
          <w:tcPr>
            <w:tcW w:w="4820" w:type="dxa"/>
            <w:vAlign w:val="bottom"/>
          </w:tcPr>
          <w:p w14:paraId="57B67397" w14:textId="77777777" w:rsidR="001B55AA" w:rsidRPr="00E6514C" w:rsidRDefault="001B55AA" w:rsidP="004C00CB">
            <w:pPr>
              <w:pStyle w:val="NormalWeb"/>
              <w:jc w:val="center"/>
              <w:rPr>
                <w:shd w:val="clear" w:color="auto" w:fill="FFFFFF"/>
              </w:rPr>
            </w:pPr>
            <w:r w:rsidRPr="00E6514C">
              <w:rPr>
                <w:shd w:val="clear" w:color="auto" w:fill="FFFFFF"/>
              </w:rPr>
              <w:t xml:space="preserve">sc-2033, Santa Cruz </w:t>
            </w:r>
            <w:proofErr w:type="spellStart"/>
            <w:r w:rsidRPr="00E6514C">
              <w:rPr>
                <w:shd w:val="clear" w:color="auto" w:fill="FFFFFF"/>
              </w:rPr>
              <w:t>BiotechnologyInc</w:t>
            </w:r>
            <w:proofErr w:type="spellEnd"/>
            <w:r w:rsidRPr="00E6514C">
              <w:rPr>
                <w:shd w:val="clear" w:color="auto" w:fill="FFFFFF"/>
              </w:rPr>
              <w:t>., USA</w:t>
            </w:r>
          </w:p>
        </w:tc>
        <w:tc>
          <w:tcPr>
            <w:tcW w:w="2572" w:type="dxa"/>
            <w:vAlign w:val="center"/>
          </w:tcPr>
          <w:p w14:paraId="0D7D5747" w14:textId="77777777" w:rsidR="001B55AA" w:rsidRPr="00E6514C" w:rsidRDefault="001B55AA" w:rsidP="004C00CB">
            <w:pPr>
              <w:pStyle w:val="NormalWeb"/>
              <w:jc w:val="center"/>
              <w:rPr>
                <w:shd w:val="clear" w:color="auto" w:fill="FFFFFF"/>
              </w:rPr>
            </w:pPr>
            <w:r w:rsidRPr="00E6514C">
              <w:rPr>
                <w:shd w:val="clear" w:color="auto" w:fill="FFFFFF"/>
              </w:rPr>
              <w:t>donkey</w:t>
            </w:r>
          </w:p>
        </w:tc>
      </w:tr>
    </w:tbl>
    <w:p w14:paraId="73B2AC24" w14:textId="77777777" w:rsidR="001B55AA" w:rsidRDefault="001B55AA" w:rsidP="004C00CB">
      <w:pPr>
        <w:pStyle w:val="NormalWeb"/>
        <w:spacing w:before="0" w:beforeAutospacing="0" w:after="0" w:afterAutospacing="0"/>
        <w:ind w:firstLine="284"/>
        <w:jc w:val="both"/>
        <w:rPr>
          <w:shd w:val="clear" w:color="auto" w:fill="FFFFFF"/>
        </w:rPr>
      </w:pPr>
    </w:p>
    <w:p w14:paraId="2882CE7A" w14:textId="77777777" w:rsidR="001B55AA" w:rsidRPr="00E6514C" w:rsidRDefault="001B55AA" w:rsidP="004C00CB">
      <w:pPr>
        <w:pStyle w:val="NormalWeb"/>
        <w:spacing w:before="0" w:beforeAutospacing="0" w:after="0" w:afterAutospacing="0"/>
        <w:ind w:firstLine="284"/>
        <w:jc w:val="both"/>
      </w:pPr>
      <w:r w:rsidRPr="00E6514C">
        <w:rPr>
          <w:shd w:val="clear" w:color="auto" w:fill="FFFFFF"/>
        </w:rPr>
        <w:t xml:space="preserve">Following incubation with antibodies, an enhanced chemiluminescence (ECL) system (Immobilon Western Chemiluminescent HRP Substrate, Millipore, USA) was poured on the membranes. </w:t>
      </w:r>
      <w:r w:rsidRPr="00E6514C">
        <w:t xml:space="preserve">Immunoreactive bands were detected on X-ray films in the dark chamber. </w:t>
      </w:r>
      <w:r w:rsidRPr="00E6514C">
        <w:rPr>
          <w:shd w:val="clear" w:color="auto" w:fill="FFFFFF"/>
        </w:rPr>
        <w:t>β-actin</w:t>
      </w:r>
      <w:r w:rsidRPr="00E6514C">
        <w:t xml:space="preserve"> as quantified and used as a loading control. The signal intensity was evaluated using the Image J software package, and results were expressed relative to the control value (set as 100%).</w:t>
      </w:r>
    </w:p>
    <w:p w14:paraId="3D37D94A" w14:textId="77777777" w:rsidR="001B55AA" w:rsidRPr="00E6514C" w:rsidRDefault="001B55AA" w:rsidP="004C00CB">
      <w:pPr>
        <w:pStyle w:val="NormalWeb"/>
        <w:spacing w:before="0" w:beforeAutospacing="0" w:after="0" w:afterAutospacing="0"/>
        <w:ind w:firstLine="284"/>
        <w:jc w:val="both"/>
      </w:pPr>
      <w:r w:rsidRPr="00E6514C">
        <w:t xml:space="preserve">All data were expressed as means ± S.E.M. Results were analyzed using One-way ANOVA followed by a </w:t>
      </w:r>
      <w:proofErr w:type="spellStart"/>
      <w:r w:rsidRPr="00E6514C">
        <w:t>posthoc</w:t>
      </w:r>
      <w:proofErr w:type="spellEnd"/>
      <w:r w:rsidRPr="00E6514C">
        <w:t xml:space="preserve"> Tukey's test. p &lt; 0.05 was defined as statistically significant.</w:t>
      </w:r>
    </w:p>
    <w:p w14:paraId="2297C3DA" w14:textId="77777777" w:rsidR="001B55AA" w:rsidRPr="00E6514C" w:rsidRDefault="001B55AA" w:rsidP="004C00CB">
      <w:pPr>
        <w:rPr>
          <w:rFonts w:ascii="Times New Roman" w:hAnsi="Times New Roman" w:cs="Times New Roman"/>
        </w:rPr>
      </w:pPr>
    </w:p>
    <w:p w14:paraId="33413F1D" w14:textId="77777777" w:rsidR="001B55AA" w:rsidRPr="00E6514C" w:rsidRDefault="001B55AA" w:rsidP="004C00CB">
      <w:pPr>
        <w:pStyle w:val="Heading4"/>
        <w:spacing w:before="0"/>
        <w:ind w:left="862" w:hanging="862"/>
        <w:rPr>
          <w:caps/>
          <w:sz w:val="24"/>
          <w:szCs w:val="24"/>
        </w:rPr>
      </w:pPr>
      <w:r w:rsidRPr="00E6514C">
        <w:rPr>
          <w:caps/>
          <w:sz w:val="24"/>
          <w:szCs w:val="24"/>
        </w:rPr>
        <w:t>Results and Discussion</w:t>
      </w:r>
    </w:p>
    <w:p w14:paraId="691F08DC" w14:textId="77777777" w:rsidR="001B55AA" w:rsidRPr="00E6514C" w:rsidRDefault="001B55AA" w:rsidP="004C00CB">
      <w:pPr>
        <w:jc w:val="both"/>
        <w:rPr>
          <w:rFonts w:ascii="Times New Roman" w:hAnsi="Times New Roman" w:cs="Times New Roman"/>
        </w:rPr>
      </w:pPr>
      <w:r w:rsidRPr="00E6514C">
        <w:rPr>
          <w:rFonts w:ascii="Times New Roman" w:hAnsi="Times New Roman" w:cs="Times New Roman"/>
        </w:rPr>
        <w:t xml:space="preserve">In the HIP, a significant effect of d-gal treatment was detected only on vGlut1 protein level (F = 3.835, p &lt; 0.05), and </w:t>
      </w:r>
      <w:r w:rsidRPr="00E6514C">
        <w:rPr>
          <w:rFonts w:ascii="Times New Roman" w:hAnsi="Times New Roman" w:cs="Times New Roman"/>
          <w:i/>
        </w:rPr>
        <w:t>post-hoc</w:t>
      </w:r>
      <w:r w:rsidRPr="00E6514C">
        <w:rPr>
          <w:rFonts w:ascii="Times New Roman" w:hAnsi="Times New Roman" w:cs="Times New Roman"/>
        </w:rPr>
        <w:t xml:space="preserve"> analysis revealed a significantly lower vGlut1 level in 500 mg/kg compared to the 200 mg/kg (p &lt; 0.05). In the PFC, One-way ANOVA revealed a significant effect of d-gal treatment on vGlut1 (F = 5.823, p &lt; 0.01) and NR2B protein level (F = 18.29, p &lt; 0.001), while </w:t>
      </w:r>
      <w:r w:rsidRPr="00E6514C">
        <w:rPr>
          <w:rFonts w:ascii="Times New Roman" w:hAnsi="Times New Roman" w:cs="Times New Roman"/>
          <w:i/>
        </w:rPr>
        <w:t>post-hoc</w:t>
      </w:r>
      <w:r w:rsidRPr="00E6514C">
        <w:rPr>
          <w:rFonts w:ascii="Times New Roman" w:hAnsi="Times New Roman" w:cs="Times New Roman"/>
        </w:rPr>
        <w:t xml:space="preserve"> test showed a statistically significant decrease of vGlut1 (p &lt; 0.05) and NR2B (p &lt; 0.01, p &lt; 0.001, respectively) in both treated groups compared to Con. D-gal treatment did not affect the PSD-95 protein level in the PFC and HIP (</w:t>
      </w:r>
      <w:r w:rsidRPr="00E6514C">
        <w:rPr>
          <w:rFonts w:ascii="Times New Roman" w:hAnsi="Times New Roman" w:cs="Times New Roman"/>
          <w:b/>
        </w:rPr>
        <w:t>Figure 1.</w:t>
      </w:r>
      <w:r w:rsidRPr="00E6514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55AA" w:rsidRPr="00E6514C" w14:paraId="34B52182" w14:textId="77777777" w:rsidTr="00761DE9">
        <w:tc>
          <w:tcPr>
            <w:tcW w:w="9854" w:type="dxa"/>
          </w:tcPr>
          <w:p w14:paraId="66A3CB24" w14:textId="77777777" w:rsidR="001B55AA" w:rsidRPr="00E6514C" w:rsidRDefault="001B55AA" w:rsidP="004C00CB">
            <w:pPr>
              <w:jc w:val="center"/>
              <w:rPr>
                <w:rFonts w:ascii="Times New Roman" w:hAnsi="Times New Roman" w:cs="Times New Roman"/>
              </w:rPr>
            </w:pPr>
            <w:r w:rsidRPr="00E6514C">
              <w:rPr>
                <w:rFonts w:ascii="Times New Roman" w:hAnsi="Times New Roman" w:cs="Times New Roman"/>
                <w:noProof/>
              </w:rPr>
              <w:lastRenderedPageBreak/>
              <w:drawing>
                <wp:inline distT="0" distB="0" distL="0" distR="0" wp14:anchorId="07303613" wp14:editId="5F9739A9">
                  <wp:extent cx="4500880" cy="345567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0880" cy="3455670"/>
                          </a:xfrm>
                          <a:prstGeom prst="rect">
                            <a:avLst/>
                          </a:prstGeom>
                          <a:noFill/>
                          <a:ln>
                            <a:noFill/>
                          </a:ln>
                        </pic:spPr>
                      </pic:pic>
                    </a:graphicData>
                  </a:graphic>
                </wp:inline>
              </w:drawing>
            </w:r>
          </w:p>
        </w:tc>
      </w:tr>
      <w:tr w:rsidR="001B55AA" w:rsidRPr="00E6514C" w14:paraId="7D61E372" w14:textId="77777777" w:rsidTr="00761DE9">
        <w:tc>
          <w:tcPr>
            <w:tcW w:w="9854" w:type="dxa"/>
          </w:tcPr>
          <w:p w14:paraId="23D3549D" w14:textId="77777777" w:rsidR="001B55AA" w:rsidRPr="00E6514C" w:rsidRDefault="001B55AA" w:rsidP="004C00CB">
            <w:pPr>
              <w:jc w:val="center"/>
              <w:rPr>
                <w:rFonts w:ascii="Times New Roman" w:hAnsi="Times New Roman" w:cs="Times New Roman"/>
              </w:rPr>
            </w:pPr>
            <w:r w:rsidRPr="00E6514C">
              <w:rPr>
                <w:rStyle w:val="fig1Char"/>
                <w:rFonts w:ascii="Times New Roman" w:hAnsi="Times New Roman"/>
                <w:bCs/>
                <w:i w:val="0"/>
              </w:rPr>
              <w:t>Figure 1</w:t>
            </w:r>
            <w:r w:rsidRPr="00E6514C">
              <w:rPr>
                <w:rFonts w:ascii="Times New Roman" w:hAnsi="Times New Roman" w:cs="Times New Roman"/>
                <w:i/>
              </w:rPr>
              <w:t>.</w:t>
            </w:r>
            <w:r w:rsidRPr="00E6514C">
              <w:rPr>
                <w:rFonts w:ascii="Times New Roman" w:hAnsi="Times New Roman" w:cs="Times New Roman"/>
              </w:rPr>
              <w:t xml:space="preserve"> Effect of D-galactose treatment applied in two doses (200 mg/kg and 500 mg/kg) on components of glutamatergic signaling in the hippocampus (HIP) and prefrontal cortex (PFC). Data are presented as the mean</w:t>
            </w:r>
            <w:r w:rsidRPr="00E6514C">
              <w:rPr>
                <w:rFonts w:ascii="Times New Roman" w:hAnsi="Times New Roman" w:cs="Times New Roman"/>
                <w:lang w:val="en-GB"/>
              </w:rPr>
              <w:t> </w:t>
            </w:r>
            <w:r w:rsidRPr="00E6514C">
              <w:rPr>
                <w:rFonts w:ascii="Times New Roman" w:hAnsi="Times New Roman" w:cs="Times New Roman"/>
              </w:rPr>
              <w:t>±</w:t>
            </w:r>
            <w:r w:rsidRPr="00E6514C">
              <w:rPr>
                <w:rFonts w:ascii="Times New Roman" w:hAnsi="Times New Roman" w:cs="Times New Roman"/>
                <w:lang w:val="en-GB"/>
              </w:rPr>
              <w:t> </w:t>
            </w:r>
            <w:r w:rsidRPr="00E6514C">
              <w:rPr>
                <w:rFonts w:ascii="Times New Roman" w:hAnsi="Times New Roman" w:cs="Times New Roman"/>
              </w:rPr>
              <w:t>SEM, and the values of the control group were set as 100</w:t>
            </w:r>
            <w:r w:rsidRPr="00E6514C">
              <w:rPr>
                <w:rFonts w:ascii="Times New Roman" w:hAnsi="Times New Roman" w:cs="Times New Roman"/>
                <w:lang w:val="en-GB"/>
              </w:rPr>
              <w:t> </w:t>
            </w:r>
            <w:r w:rsidRPr="00E6514C">
              <w:rPr>
                <w:rFonts w:ascii="Times New Roman" w:hAnsi="Times New Roman" w:cs="Times New Roman"/>
              </w:rPr>
              <w:t xml:space="preserve">%. * </w:t>
            </w:r>
            <w:proofErr w:type="gramStart"/>
            <w:r w:rsidRPr="00E6514C">
              <w:rPr>
                <w:rFonts w:ascii="Times New Roman" w:hAnsi="Times New Roman" w:cs="Times New Roman"/>
              </w:rPr>
              <w:t>symbols</w:t>
            </w:r>
            <w:proofErr w:type="gramEnd"/>
            <w:r w:rsidRPr="00E6514C">
              <w:rPr>
                <w:rFonts w:ascii="Times New Roman" w:hAnsi="Times New Roman" w:cs="Times New Roman"/>
              </w:rPr>
              <w:t xml:space="preserve"> indicate significant difference control </w:t>
            </w:r>
            <w:r w:rsidRPr="00E6514C">
              <w:rPr>
                <w:rFonts w:ascii="Times New Roman" w:hAnsi="Times New Roman" w:cs="Times New Roman"/>
                <w:i/>
              </w:rPr>
              <w:t xml:space="preserve">vs. </w:t>
            </w:r>
            <w:r w:rsidRPr="00E6514C">
              <w:rPr>
                <w:rFonts w:ascii="Times New Roman" w:hAnsi="Times New Roman" w:cs="Times New Roman"/>
              </w:rPr>
              <w:t>d-gal groups (*p</w:t>
            </w:r>
            <w:r w:rsidRPr="00E6514C">
              <w:rPr>
                <w:rFonts w:ascii="Times New Roman" w:hAnsi="Times New Roman" w:cs="Times New Roman"/>
                <w:lang w:val="en-GB"/>
              </w:rPr>
              <w:t> </w:t>
            </w:r>
            <w:r w:rsidRPr="00E6514C">
              <w:rPr>
                <w:rFonts w:ascii="Times New Roman" w:hAnsi="Times New Roman" w:cs="Times New Roman"/>
              </w:rPr>
              <w:t>&lt;</w:t>
            </w:r>
            <w:r w:rsidRPr="00E6514C">
              <w:rPr>
                <w:rFonts w:ascii="Times New Roman" w:hAnsi="Times New Roman" w:cs="Times New Roman"/>
                <w:lang w:val="en-GB"/>
              </w:rPr>
              <w:t> </w:t>
            </w:r>
            <w:r w:rsidRPr="00E6514C">
              <w:rPr>
                <w:rFonts w:ascii="Times New Roman" w:hAnsi="Times New Roman" w:cs="Times New Roman"/>
              </w:rPr>
              <w:t>0.05, **p</w:t>
            </w:r>
            <w:r w:rsidRPr="00E6514C">
              <w:rPr>
                <w:rFonts w:ascii="Times New Roman" w:hAnsi="Times New Roman" w:cs="Times New Roman"/>
                <w:lang w:val="en-GB"/>
              </w:rPr>
              <w:t> </w:t>
            </w:r>
            <w:r w:rsidRPr="00E6514C">
              <w:rPr>
                <w:rFonts w:ascii="Times New Roman" w:hAnsi="Times New Roman" w:cs="Times New Roman"/>
              </w:rPr>
              <w:t>&lt;</w:t>
            </w:r>
            <w:r w:rsidRPr="00E6514C">
              <w:rPr>
                <w:rFonts w:ascii="Times New Roman" w:hAnsi="Times New Roman" w:cs="Times New Roman"/>
                <w:lang w:val="en-GB"/>
              </w:rPr>
              <w:t> </w:t>
            </w:r>
            <w:r w:rsidRPr="00E6514C">
              <w:rPr>
                <w:rFonts w:ascii="Times New Roman" w:hAnsi="Times New Roman" w:cs="Times New Roman"/>
              </w:rPr>
              <w:t>0.01, ***p</w:t>
            </w:r>
            <w:r w:rsidRPr="00E6514C">
              <w:rPr>
                <w:rFonts w:ascii="Times New Roman" w:hAnsi="Times New Roman" w:cs="Times New Roman"/>
                <w:lang w:val="en-GB"/>
              </w:rPr>
              <w:t> </w:t>
            </w:r>
            <w:r w:rsidRPr="00E6514C">
              <w:rPr>
                <w:rFonts w:ascii="Times New Roman" w:hAnsi="Times New Roman" w:cs="Times New Roman"/>
              </w:rPr>
              <w:t>&lt;</w:t>
            </w:r>
            <w:r w:rsidRPr="00E6514C">
              <w:rPr>
                <w:rFonts w:ascii="Times New Roman" w:hAnsi="Times New Roman" w:cs="Times New Roman"/>
                <w:lang w:val="en-GB"/>
              </w:rPr>
              <w:t> </w:t>
            </w:r>
            <w:r w:rsidRPr="00E6514C">
              <w:rPr>
                <w:rFonts w:ascii="Times New Roman" w:hAnsi="Times New Roman" w:cs="Times New Roman"/>
              </w:rPr>
              <w:t>0.001) while</w:t>
            </w:r>
            <w:r>
              <w:rPr>
                <w:rFonts w:ascii="Times New Roman" w:hAnsi="Times New Roman" w:cs="Times New Roman"/>
              </w:rPr>
              <w:t xml:space="preserve"> </w:t>
            </w:r>
            <w:r w:rsidRPr="00E6514C">
              <w:rPr>
                <w:rFonts w:ascii="Times New Roman" w:hAnsi="Times New Roman" w:cs="Times New Roman"/>
              </w:rPr>
              <w:t>#</w:t>
            </w:r>
            <w:r w:rsidRPr="00E6514C">
              <w:rPr>
                <w:rFonts w:ascii="Times New Roman" w:hAnsi="Times New Roman" w:cs="Times New Roman"/>
                <w:vertAlign w:val="superscript"/>
              </w:rPr>
              <w:t xml:space="preserve"> </w:t>
            </w:r>
            <w:r w:rsidRPr="00E6514C">
              <w:rPr>
                <w:rFonts w:ascii="Times New Roman" w:hAnsi="Times New Roman" w:cs="Times New Roman"/>
              </w:rPr>
              <w:t>represents the difference between two d-gal groups (</w:t>
            </w:r>
            <w:r w:rsidRPr="00E6514C">
              <w:rPr>
                <w:rFonts w:ascii="Times New Roman" w:hAnsi="Times New Roman" w:cs="Times New Roman"/>
                <w:vertAlign w:val="superscript"/>
              </w:rPr>
              <w:t>#</w:t>
            </w:r>
            <w:r w:rsidRPr="00E6514C">
              <w:rPr>
                <w:rFonts w:ascii="Times New Roman" w:hAnsi="Times New Roman" w:cs="Times New Roman"/>
              </w:rPr>
              <w:t>p</w:t>
            </w:r>
            <w:r w:rsidRPr="00E6514C">
              <w:rPr>
                <w:rFonts w:ascii="Times New Roman" w:hAnsi="Times New Roman" w:cs="Times New Roman"/>
                <w:lang w:val="en-GB"/>
              </w:rPr>
              <w:t> </w:t>
            </w:r>
            <w:r w:rsidRPr="00E6514C">
              <w:rPr>
                <w:rFonts w:ascii="Times New Roman" w:hAnsi="Times New Roman" w:cs="Times New Roman"/>
              </w:rPr>
              <w:t>&lt;</w:t>
            </w:r>
            <w:r w:rsidRPr="00E6514C">
              <w:rPr>
                <w:rFonts w:ascii="Times New Roman" w:hAnsi="Times New Roman" w:cs="Times New Roman"/>
                <w:lang w:val="en-GB"/>
              </w:rPr>
              <w:t> </w:t>
            </w:r>
            <w:r w:rsidRPr="00E6514C">
              <w:rPr>
                <w:rFonts w:ascii="Times New Roman" w:hAnsi="Times New Roman" w:cs="Times New Roman"/>
              </w:rPr>
              <w:t>0.05).</w:t>
            </w:r>
          </w:p>
        </w:tc>
      </w:tr>
    </w:tbl>
    <w:p w14:paraId="2F5F9981" w14:textId="77777777" w:rsidR="001B55AA" w:rsidRPr="00E6514C" w:rsidRDefault="001B55AA" w:rsidP="004C00CB">
      <w:pPr>
        <w:pStyle w:val="NormalWeb"/>
        <w:spacing w:before="0" w:beforeAutospacing="0" w:after="0" w:afterAutospacing="0"/>
        <w:ind w:firstLine="284"/>
        <w:jc w:val="center"/>
        <w:rPr>
          <w:shd w:val="clear" w:color="auto" w:fill="FFFFFF"/>
        </w:rPr>
      </w:pPr>
    </w:p>
    <w:p w14:paraId="0190C4E8" w14:textId="77777777" w:rsidR="001B55AA" w:rsidRPr="00E6514C" w:rsidRDefault="001B55AA" w:rsidP="004C00CB">
      <w:pPr>
        <w:pStyle w:val="NormalWeb"/>
        <w:spacing w:before="0" w:beforeAutospacing="0" w:after="0" w:afterAutospacing="0"/>
        <w:ind w:firstLine="284"/>
        <w:jc w:val="both"/>
      </w:pPr>
      <w:r w:rsidRPr="00E6514C">
        <w:t xml:space="preserve">Detected region-specific changes of vGlut1 and NR2B proteins suggest compromised glutamatergic synapses homeostasis in the PFC but not in the HIP. Herein reported a decreased level of vGlut1 in the PFC indicates jeopardized glutamate import into synaptic vesicles, resulting in diminished glutamate content in the synaptic cleft. Our findings are similar to those published by Dawson and co-workers who reported a functionally intact glutamate pool in the frontal cortex but age-dependent changes in presynaptic modulation of glutamate release </w:t>
      </w:r>
      <w:r w:rsidRPr="00E6514C">
        <w:fldChar w:fldCharType="begin"/>
      </w:r>
      <w:r w:rsidRPr="00E6514C">
        <w:instrText xml:space="preserve"> ADDIN EN.CITE &lt;EndNote&gt;&lt;Cite&gt;&lt;Author&gt;Dawson&lt;/Author&gt;&lt;Year&gt;1989&lt;/Year&gt;&lt;RecNum&gt;72&lt;/RecNum&gt;&lt;DisplayText&gt;[3]&lt;/DisplayText&gt;&lt;record&gt;&lt;rec-number&gt;72&lt;/rec-number&gt;&lt;foreign-keys&gt;&lt;key app="EN" db-id="zdst952v8d9xx1edatq5ff08srz09dvdpvz2" timestamp="1569584282"&gt;72&lt;/key&gt;&lt;/foreign-keys&gt;&lt;ref-type name="Journal Article"&gt;17&lt;/ref-type&gt;&lt;contributors&gt;&lt;authors&gt;&lt;author&gt;Dawson, R., Jr.&lt;/author&gt;&lt;author&gt;Wallace, D. R.&lt;/author&gt;&lt;author&gt;Meldrum, M. J.&lt;/author&gt;&lt;/authors&gt;&lt;/contributors&gt;&lt;auth-address&gt;Department of Pharmacodynamics, College of Pharmacy, University of Florida, Gainesville 32610.&lt;/auth-address&gt;&lt;titles&gt;&lt;title&gt;Endogenous glutamate release from frontal cortex of adult and aged rats&lt;/title&gt;&lt;secondary-title&gt;Neurobiol Aging&lt;/secondary-title&gt;&lt;alt-title&gt;Neurobiology of aging&lt;/alt-title&gt;&lt;/titles&gt;&lt;periodical&gt;&lt;full-title&gt;Neurobiol Aging&lt;/full-title&gt;&lt;abbr-1&gt;Neurobiology of aging&lt;/abbr-1&gt;&lt;/periodical&gt;&lt;alt-periodical&gt;&lt;full-title&gt;Neurobiol Aging&lt;/full-title&gt;&lt;abbr-1&gt;Neurobiology of aging&lt;/abbr-1&gt;&lt;/alt-periodical&gt;&lt;pages&gt;665-8&lt;/pages&gt;&lt;volume&gt;10&lt;/volume&gt;&lt;number&gt;6&lt;/number&gt;&lt;keywords&gt;&lt;keyword&gt;Aging/*metabolism&lt;/keyword&gt;&lt;keyword&gt;Amino Acids/metabolism&lt;/keyword&gt;&lt;keyword&gt;Animals&lt;/keyword&gt;&lt;keyword&gt;Frontal Lobe/drug effects/*metabolism&lt;/keyword&gt;&lt;keyword&gt;Glutamates/*metabolism&lt;/keyword&gt;&lt;keyword&gt;In Vitro Techniques&lt;/keyword&gt;&lt;keyword&gt;Kainic Acid/pharmacology&lt;/keyword&gt;&lt;keyword&gt;Male&lt;/keyword&gt;&lt;keyword&gt;Potassium Chloride/pharmacology&lt;/keyword&gt;&lt;keyword&gt;Rats&lt;/keyword&gt;&lt;keyword&gt;Rats, Inbred F344&lt;/keyword&gt;&lt;/keywords&gt;&lt;dates&gt;&lt;year&gt;1989&lt;/year&gt;&lt;pub-dates&gt;&lt;date&gt;Nov-Dec&lt;/date&gt;&lt;/pub-dates&gt;&lt;/dates&gt;&lt;isbn&gt;0197-4580 (Print)&amp;#xD;0197-4580 (Linking)&lt;/isbn&gt;&lt;accession-num&gt;2628777&lt;/accession-num&gt;&lt;urls&gt;&lt;related-urls&gt;&lt;url&gt;http://www.ncbi.nlm.nih.gov/pubmed/2628777&lt;/url&gt;&lt;/related-urls&gt;&lt;/urls&gt;&lt;electronic-resource-num&gt;10.1016/0197-4580(89)90002-x&lt;/electronic-resource-num&gt;&lt;/record&gt;&lt;/Cite&gt;&lt;/EndNote&gt;</w:instrText>
      </w:r>
      <w:r w:rsidRPr="00E6514C">
        <w:fldChar w:fldCharType="separate"/>
      </w:r>
      <w:r w:rsidRPr="00E6514C">
        <w:rPr>
          <w:noProof/>
        </w:rPr>
        <w:t>[1]</w:t>
      </w:r>
      <w:r w:rsidRPr="00E6514C">
        <w:fldChar w:fldCharType="end"/>
      </w:r>
      <w:r w:rsidRPr="00E6514C">
        <w:t xml:space="preserve">. Furthermore, the literature emphasizes that the most consistent age-related change in the glutamatergic system is the loss of glutamate receptors </w:t>
      </w:r>
      <w:r w:rsidRPr="00E6514C">
        <w:sym w:font="Symbol" w:char="F05B"/>
      </w:r>
      <w:r w:rsidRPr="00E6514C">
        <w:t>7</w:t>
      </w:r>
      <w:r w:rsidRPr="00E6514C">
        <w:sym w:font="Symbol" w:char="F05D"/>
      </w:r>
      <w:r w:rsidRPr="00E6514C">
        <w:t xml:space="preserve">. The observed decrease of NR2B subunit in the PFC indicate region-specific NMDAR modulation. Indeed, studies suggest that the NMDA receptors in the cerebral cortex are more vulnerable to aging changes than those in the hippocampus </w:t>
      </w:r>
      <w:r w:rsidRPr="00E6514C">
        <w:fldChar w:fldCharType="begin"/>
      </w:r>
      <w:r w:rsidRPr="00E6514C">
        <w:instrText xml:space="preserve"> ADDIN EN.CITE &lt;EndNote&gt;&lt;Cite&gt;&lt;Author&gt;Magnusson&lt;/Author&gt;&lt;Year&gt;2010&lt;/Year&gt;&lt;RecNum&gt;13&lt;/RecNum&gt;&lt;DisplayText&gt;[1]&lt;/DisplayText&gt;&lt;record&gt;&lt;rec-number&gt;13&lt;/rec-number&gt;&lt;foreign-keys&gt;&lt;key app="EN" db-id="zdst952v8d9xx1edatq5ff08srz09dvdpvz2" timestamp="1555067313"&gt;13&lt;/key&gt;&lt;/foreign-keys&gt;&lt;ref-type name="Journal Article"&gt;17&lt;/ref-type&gt;&lt;contributors&gt;&lt;authors&gt;&lt;author&gt;Magnusson, K. R.&lt;/author&gt;&lt;author&gt;Brim, B. L.&lt;/author&gt;&lt;author&gt;Das, S. R.&lt;/author&gt;&lt;/authors&gt;&lt;/contributors&gt;&lt;auth-address&gt;Department of Biomedical Sciences, College of Veterinary Medicine, Oregon State University Corvallis, OR, USA.&lt;/auth-address&gt;&lt;titles&gt;&lt;title&gt;Selective Vulnerabilities of N-methyl-D-aspartate (NMDA) Receptors During Brain Aging&lt;/title&gt;&lt;secondary-title&gt;Front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neuroscience&lt;/abbr-1&gt;&lt;/alt-periodical&gt;&lt;pages&gt;11&lt;/pages&gt;&lt;volume&gt;2&lt;/volume&gt;&lt;dates&gt;&lt;year&gt;2010&lt;/year&gt;&lt;/dates&gt;&lt;isbn&gt;1663-4365 (Electronic)&amp;#xD;1663-4365 (Linking)&lt;/isbn&gt;&lt;accession-num&gt;20552049&lt;/accession-num&gt;&lt;urls&gt;&lt;related-urls&gt;&lt;url&gt;http://www.ncbi.nlm.nih.gov/pubmed/20552049&lt;/url&gt;&lt;/related-urls&gt;&lt;/urls&gt;&lt;custom2&gt;2874396&lt;/custom2&gt;&lt;electronic-resource-num&gt;10.3389/fnagi.2010.00011&lt;/electronic-resource-num&gt;&lt;/record&gt;&lt;/Cite&gt;&lt;/EndNote&gt;</w:instrText>
      </w:r>
      <w:r w:rsidRPr="00E6514C">
        <w:fldChar w:fldCharType="separate"/>
      </w:r>
      <w:r w:rsidRPr="00E6514C">
        <w:rPr>
          <w:noProof/>
        </w:rPr>
        <w:t>[3]</w:t>
      </w:r>
      <w:r w:rsidRPr="00E6514C">
        <w:fldChar w:fldCharType="end"/>
      </w:r>
      <w:r w:rsidRPr="00E6514C">
        <w:t>.</w:t>
      </w:r>
    </w:p>
    <w:p w14:paraId="29DE9FFF" w14:textId="77777777" w:rsidR="001B55AA" w:rsidRPr="00E6514C" w:rsidRDefault="001B55AA" w:rsidP="004C00CB">
      <w:pPr>
        <w:pStyle w:val="NormalWeb"/>
        <w:spacing w:before="0" w:beforeAutospacing="0" w:after="0" w:afterAutospacing="0"/>
        <w:ind w:firstLine="289"/>
        <w:jc w:val="both"/>
      </w:pPr>
      <w:r w:rsidRPr="00E6514C">
        <w:t>Interestingly, the protein level of PSD-95 stayed unaltered regardless of group and brain region. Considering that PSD-95 may be crucial for the synapse interaction with downstream signaling, its preserved level may prevent further propagation of the potential detrimental signal. Still, the exact effect will be determined in future research.</w:t>
      </w:r>
    </w:p>
    <w:p w14:paraId="5CACB774" w14:textId="77777777" w:rsidR="001B55AA" w:rsidRPr="00E6514C" w:rsidRDefault="001B55AA" w:rsidP="004C00CB">
      <w:pPr>
        <w:pStyle w:val="NormalWeb"/>
        <w:spacing w:before="0" w:beforeAutospacing="0" w:after="0" w:afterAutospacing="0"/>
        <w:jc w:val="both"/>
      </w:pPr>
    </w:p>
    <w:p w14:paraId="6906BCDC" w14:textId="77777777" w:rsidR="001B55AA" w:rsidRPr="00E6514C" w:rsidRDefault="001B55AA" w:rsidP="004C00CB">
      <w:pPr>
        <w:pStyle w:val="paper"/>
        <w:rPr>
          <w:sz w:val="24"/>
          <w:szCs w:val="24"/>
          <w:lang w:val="en-GB"/>
        </w:rPr>
      </w:pPr>
      <w:r w:rsidRPr="00E6514C">
        <w:rPr>
          <w:b/>
          <w:bCs/>
          <w:sz w:val="24"/>
          <w:szCs w:val="24"/>
        </w:rPr>
        <w:t>CONCLUSION</w:t>
      </w:r>
    </w:p>
    <w:p w14:paraId="428832AB" w14:textId="77777777" w:rsidR="001B55AA" w:rsidRPr="00E6514C" w:rsidRDefault="001B55AA" w:rsidP="004C00CB">
      <w:pPr>
        <w:pStyle w:val="paper"/>
        <w:jc w:val="both"/>
        <w:rPr>
          <w:rFonts w:eastAsia="MinionPro-It"/>
          <w:noProof/>
          <w:sz w:val="24"/>
          <w:szCs w:val="24"/>
        </w:rPr>
      </w:pPr>
      <w:r w:rsidRPr="00E6514C">
        <w:rPr>
          <w:sz w:val="24"/>
          <w:szCs w:val="24"/>
        </w:rPr>
        <w:t>To our knowledge, we are the first to report changes in the expression of synapse-located proteins in rats following chronic oral d-gal treatment. Our results represent valuable data guiding us into further</w:t>
      </w:r>
      <w:r w:rsidRPr="00E6514C">
        <w:rPr>
          <w:rFonts w:eastAsia="MinionPro-It"/>
          <w:noProof/>
          <w:sz w:val="24"/>
          <w:szCs w:val="24"/>
        </w:rPr>
        <w:t xml:space="preserve"> research on region-specific modulation of NMDA receptors in the aging brain.</w:t>
      </w:r>
    </w:p>
    <w:p w14:paraId="7E0C8F6D" w14:textId="77777777" w:rsidR="001B55AA" w:rsidRPr="00E6514C" w:rsidRDefault="001B55AA" w:rsidP="004C00CB">
      <w:pPr>
        <w:pStyle w:val="paper"/>
        <w:rPr>
          <w:bCs/>
          <w:sz w:val="24"/>
          <w:szCs w:val="24"/>
        </w:rPr>
      </w:pPr>
      <w:r w:rsidRPr="00E6514C">
        <w:rPr>
          <w:bCs/>
          <w:sz w:val="24"/>
          <w:szCs w:val="24"/>
        </w:rPr>
        <w:br w:type="page"/>
      </w:r>
    </w:p>
    <w:p w14:paraId="42E74979" w14:textId="77777777" w:rsidR="001B55AA" w:rsidRPr="00E6514C" w:rsidRDefault="001B55AA" w:rsidP="004C00CB">
      <w:pPr>
        <w:pStyle w:val="paper"/>
        <w:ind w:right="284"/>
        <w:rPr>
          <w:i/>
          <w:sz w:val="24"/>
          <w:szCs w:val="24"/>
        </w:rPr>
      </w:pPr>
      <w:r w:rsidRPr="00E6514C">
        <w:rPr>
          <w:b/>
          <w:bCs/>
          <w:i/>
          <w:sz w:val="24"/>
          <w:szCs w:val="24"/>
        </w:rPr>
        <w:lastRenderedPageBreak/>
        <w:t>Acknowledgment</w:t>
      </w:r>
    </w:p>
    <w:p w14:paraId="3DFA90FB" w14:textId="77777777" w:rsidR="001B55AA" w:rsidRDefault="001B55AA" w:rsidP="004C00CB">
      <w:pPr>
        <w:pStyle w:val="paper"/>
        <w:ind w:right="-1"/>
        <w:jc w:val="both"/>
        <w:rPr>
          <w:sz w:val="24"/>
          <w:szCs w:val="24"/>
        </w:rPr>
      </w:pPr>
      <w:r w:rsidRPr="00E6514C">
        <w:rPr>
          <w:rFonts w:eastAsia="MinionPro-It"/>
          <w:bCs/>
          <w:noProof/>
          <w:kern w:val="1"/>
          <w:sz w:val="24"/>
          <w:szCs w:val="24"/>
          <w:lang w:eastAsia="en-US"/>
        </w:rPr>
        <w:t>This work was supported by the Ministry of Education, Science and Technological Development of the Republic of Serbia (</w:t>
      </w:r>
      <w:r w:rsidRPr="00E6514C">
        <w:rPr>
          <w:sz w:val="24"/>
          <w:szCs w:val="24"/>
          <w:lang w:val="en-GB"/>
        </w:rPr>
        <w:t>grant no 45</w:t>
      </w:r>
      <w:r w:rsidR="00AF38F9">
        <w:rPr>
          <w:sz w:val="24"/>
          <w:szCs w:val="24"/>
          <w:lang w:val="en-GB"/>
        </w:rPr>
        <w:t>2</w:t>
      </w:r>
      <w:r w:rsidRPr="00E6514C">
        <w:rPr>
          <w:sz w:val="24"/>
          <w:szCs w:val="24"/>
          <w:lang w:val="en-GB"/>
        </w:rPr>
        <w:t>-03-9/20</w:t>
      </w:r>
      <w:r w:rsidR="00AF38F9">
        <w:rPr>
          <w:sz w:val="24"/>
          <w:szCs w:val="24"/>
          <w:lang w:val="en-GB"/>
        </w:rPr>
        <w:t>20</w:t>
      </w:r>
      <w:r w:rsidRPr="00E6514C">
        <w:rPr>
          <w:sz w:val="24"/>
          <w:szCs w:val="24"/>
          <w:lang w:val="en-GB"/>
        </w:rPr>
        <w:t>-14/20001</w:t>
      </w:r>
      <w:r w:rsidR="00AF38F9">
        <w:rPr>
          <w:sz w:val="24"/>
          <w:szCs w:val="24"/>
          <w:lang w:val="en-GB"/>
        </w:rPr>
        <w:t>4</w:t>
      </w:r>
      <w:r w:rsidRPr="00E6514C">
        <w:rPr>
          <w:sz w:val="24"/>
          <w:szCs w:val="24"/>
          <w:lang w:val="en-GB"/>
        </w:rPr>
        <w:t>-090210</w:t>
      </w:r>
      <w:r w:rsidR="00AF38F9">
        <w:rPr>
          <w:sz w:val="24"/>
          <w:szCs w:val="24"/>
          <w:lang w:val="en-GB"/>
        </w:rPr>
        <w:t>5</w:t>
      </w:r>
      <w:r w:rsidRPr="00E6514C">
        <w:rPr>
          <w:sz w:val="24"/>
          <w:szCs w:val="24"/>
          <w:lang w:val="en-GB"/>
        </w:rPr>
        <w:t>)</w:t>
      </w:r>
      <w:r w:rsidRPr="00E6514C">
        <w:rPr>
          <w:sz w:val="24"/>
          <w:szCs w:val="24"/>
        </w:rPr>
        <w:t>.</w:t>
      </w:r>
    </w:p>
    <w:p w14:paraId="5098C7D9" w14:textId="77777777" w:rsidR="00AF38F9" w:rsidRDefault="00AF38F9" w:rsidP="004C00CB">
      <w:pPr>
        <w:pStyle w:val="paper"/>
        <w:ind w:right="-1"/>
        <w:jc w:val="both"/>
        <w:rPr>
          <w:sz w:val="24"/>
          <w:szCs w:val="24"/>
        </w:rPr>
      </w:pPr>
    </w:p>
    <w:p w14:paraId="1037A16F" w14:textId="77777777" w:rsidR="00AF38F9" w:rsidRPr="00130300" w:rsidRDefault="00AF38F9" w:rsidP="004C00CB">
      <w:pPr>
        <w:pStyle w:val="paper"/>
        <w:ind w:right="284"/>
      </w:pPr>
      <w:r w:rsidRPr="00130300">
        <w:rPr>
          <w:b/>
          <w:bCs/>
          <w:sz w:val="24"/>
          <w:szCs w:val="24"/>
        </w:rPr>
        <w:t>REFERENCES</w:t>
      </w:r>
    </w:p>
    <w:p w14:paraId="4138CB62" w14:textId="77777777" w:rsidR="00AF38F9" w:rsidRDefault="00AF38F9" w:rsidP="004C00CB">
      <w:pPr>
        <w:pStyle w:val="paper"/>
        <w:numPr>
          <w:ilvl w:val="0"/>
          <w:numId w:val="3"/>
        </w:numPr>
        <w:ind w:left="374" w:hanging="374"/>
        <w:jc w:val="both"/>
        <w:rPr>
          <w:sz w:val="24"/>
          <w:szCs w:val="24"/>
        </w:rPr>
      </w:pPr>
      <w:r w:rsidRPr="0099156D">
        <w:rPr>
          <w:sz w:val="24"/>
          <w:szCs w:val="24"/>
        </w:rPr>
        <w:t xml:space="preserve">W. C. Bray, </w:t>
      </w:r>
      <w:r w:rsidRPr="003C63CF">
        <w:rPr>
          <w:sz w:val="24"/>
          <w:szCs w:val="24"/>
        </w:rPr>
        <w:t>J. Am. Chem. Soc.,</w:t>
      </w:r>
      <w:r w:rsidRPr="0099156D">
        <w:rPr>
          <w:sz w:val="24"/>
          <w:szCs w:val="24"/>
        </w:rPr>
        <w:t xml:space="preserve"> </w:t>
      </w:r>
      <w:r w:rsidRPr="00761DE9">
        <w:rPr>
          <w:sz w:val="24"/>
          <w:szCs w:val="24"/>
        </w:rPr>
        <w:t>43</w:t>
      </w:r>
      <w:r w:rsidRPr="0099156D">
        <w:rPr>
          <w:sz w:val="24"/>
          <w:szCs w:val="24"/>
        </w:rPr>
        <w:t xml:space="preserve"> (1921) 1362</w:t>
      </w:r>
      <w:r>
        <w:rPr>
          <w:sz w:val="24"/>
          <w:szCs w:val="24"/>
        </w:rPr>
        <w:t>.</w:t>
      </w:r>
    </w:p>
    <w:p w14:paraId="3ADF40F3" w14:textId="77777777" w:rsidR="00AF38F9" w:rsidRDefault="00AF38F9" w:rsidP="004C00CB">
      <w:pPr>
        <w:pStyle w:val="ListParagraph"/>
        <w:numPr>
          <w:ilvl w:val="0"/>
          <w:numId w:val="3"/>
        </w:numPr>
        <w:ind w:left="374" w:hanging="374"/>
        <w:jc w:val="both"/>
        <w:rPr>
          <w:rFonts w:ascii="Times New Roman" w:hAnsi="Times New Roman" w:cs="Times New Roman"/>
        </w:rPr>
      </w:pPr>
      <w:r w:rsidRPr="00AF38F9">
        <w:rPr>
          <w:rFonts w:ascii="Times New Roman" w:hAnsi="Times New Roman" w:cs="Times New Roman"/>
        </w:rPr>
        <w:t>Bubanja, I. N., Ma</w:t>
      </w:r>
      <w:r w:rsidRPr="00AF38F9">
        <w:rPr>
          <w:rFonts w:ascii="Times New Roman" w:hAnsi="Times New Roman" w:cs="Times New Roman"/>
          <w:lang w:val="sr-Latn-RS"/>
        </w:rPr>
        <w:t>ć</w:t>
      </w:r>
      <w:proofErr w:type="spellStart"/>
      <w:r w:rsidRPr="00AF38F9">
        <w:rPr>
          <w:rFonts w:ascii="Times New Roman" w:hAnsi="Times New Roman" w:cs="Times New Roman"/>
        </w:rPr>
        <w:t>ešić</w:t>
      </w:r>
      <w:proofErr w:type="spellEnd"/>
      <w:r w:rsidRPr="00AF38F9">
        <w:rPr>
          <w:rFonts w:ascii="Times New Roman" w:hAnsi="Times New Roman" w:cs="Times New Roman"/>
        </w:rPr>
        <w:t xml:space="preserve">, S., Ivanović-Šašić, A., Čupić, Ž., Anić, S., and Kolar-Anić, </w:t>
      </w:r>
      <w:proofErr w:type="spellStart"/>
      <w:r w:rsidRPr="00AF38F9">
        <w:rPr>
          <w:rFonts w:ascii="Times New Roman" w:hAnsi="Times New Roman" w:cs="Times New Roman"/>
        </w:rPr>
        <w:t>Lj</w:t>
      </w:r>
      <w:proofErr w:type="spellEnd"/>
      <w:r w:rsidRPr="00AF38F9">
        <w:rPr>
          <w:rFonts w:ascii="Times New Roman" w:hAnsi="Times New Roman" w:cs="Times New Roman"/>
        </w:rPr>
        <w:t xml:space="preserve">., Phys. Chem. Chem. Phys., </w:t>
      </w:r>
      <w:r w:rsidRPr="00761DE9">
        <w:rPr>
          <w:rFonts w:ascii="Times New Roman" w:hAnsi="Times New Roman" w:cs="Times New Roman"/>
        </w:rPr>
        <w:t>18</w:t>
      </w:r>
      <w:r w:rsidRPr="00AF38F9">
        <w:rPr>
          <w:rFonts w:ascii="Times New Roman" w:hAnsi="Times New Roman" w:cs="Times New Roman"/>
          <w:b/>
          <w:bCs/>
        </w:rPr>
        <w:t xml:space="preserve"> </w:t>
      </w:r>
      <w:r w:rsidRPr="00AF38F9">
        <w:rPr>
          <w:rFonts w:ascii="Times New Roman" w:hAnsi="Times New Roman" w:cs="Times New Roman"/>
        </w:rPr>
        <w:t>(2016) 9770</w:t>
      </w:r>
      <w:r>
        <w:rPr>
          <w:rFonts w:ascii="Times New Roman" w:hAnsi="Times New Roman" w:cs="Times New Roman"/>
        </w:rPr>
        <w:t>.</w:t>
      </w:r>
    </w:p>
    <w:p w14:paraId="21CB75A8" w14:textId="77777777" w:rsidR="00AF38F9" w:rsidRDefault="00AF38F9" w:rsidP="004C00CB">
      <w:pPr>
        <w:pStyle w:val="ListParagraph"/>
        <w:numPr>
          <w:ilvl w:val="0"/>
          <w:numId w:val="3"/>
        </w:numPr>
        <w:ind w:left="374" w:hanging="374"/>
        <w:jc w:val="both"/>
        <w:rPr>
          <w:rFonts w:ascii="Times New Roman" w:hAnsi="Times New Roman" w:cs="Times New Roman"/>
        </w:rPr>
      </w:pPr>
      <w:r w:rsidRPr="00130300">
        <w:rPr>
          <w:rFonts w:ascii="Times New Roman" w:hAnsi="Times New Roman" w:cs="Times New Roman"/>
        </w:rPr>
        <w:t>R. A. Robinson, R. H. Stokes, Electrolyte Solutions, Butterworth, London,</w:t>
      </w:r>
      <w:r w:rsidR="00761DE9">
        <w:rPr>
          <w:rFonts w:ascii="Times New Roman" w:hAnsi="Times New Roman" w:cs="Times New Roman"/>
        </w:rPr>
        <w:t xml:space="preserve"> </w:t>
      </w:r>
      <w:r w:rsidRPr="00130300">
        <w:rPr>
          <w:rFonts w:ascii="Times New Roman" w:hAnsi="Times New Roman" w:cs="Times New Roman"/>
        </w:rPr>
        <w:t>1955.</w:t>
      </w:r>
    </w:p>
    <w:p w14:paraId="156D7D88" w14:textId="77777777" w:rsidR="00761DE9" w:rsidRPr="00AF38F9" w:rsidRDefault="00761DE9" w:rsidP="004C00CB">
      <w:pPr>
        <w:pStyle w:val="ListParagraph"/>
        <w:numPr>
          <w:ilvl w:val="0"/>
          <w:numId w:val="3"/>
        </w:numPr>
        <w:ind w:left="374" w:hanging="374"/>
        <w:jc w:val="both"/>
        <w:rPr>
          <w:rFonts w:ascii="Times New Roman" w:hAnsi="Times New Roman" w:cs="Times New Roman"/>
        </w:rPr>
      </w:pPr>
      <w:r w:rsidRPr="00130300">
        <w:rPr>
          <w:rFonts w:ascii="Times New Roman" w:hAnsi="Times New Roman" w:cs="Times New Roman"/>
        </w:rPr>
        <w:t xml:space="preserve">C. C. Hansch in: Comprehensive Medicinal Chemistry, Vol.6, R. G. </w:t>
      </w:r>
      <w:proofErr w:type="spellStart"/>
      <w:r w:rsidRPr="00130300">
        <w:rPr>
          <w:rFonts w:ascii="Times New Roman" w:hAnsi="Times New Roman" w:cs="Times New Roman"/>
        </w:rPr>
        <w:t>Sammes</w:t>
      </w:r>
      <w:proofErr w:type="spellEnd"/>
      <w:r w:rsidRPr="00130300">
        <w:rPr>
          <w:rFonts w:ascii="Times New Roman" w:hAnsi="Times New Roman" w:cs="Times New Roman"/>
        </w:rPr>
        <w:t>, J. B. Taylor (Eds.), Pergamon Press, Oxford, 1990.</w:t>
      </w:r>
    </w:p>
    <w:p w14:paraId="24759988" w14:textId="77777777" w:rsidR="00AF38F9" w:rsidRDefault="00AF38F9" w:rsidP="004C00CB">
      <w:pPr>
        <w:pStyle w:val="paper"/>
        <w:ind w:left="374"/>
        <w:jc w:val="both"/>
        <w:rPr>
          <w:sz w:val="24"/>
          <w:szCs w:val="24"/>
        </w:rPr>
      </w:pPr>
    </w:p>
    <w:p w14:paraId="4E8FC90D" w14:textId="77777777" w:rsidR="00AF38F9" w:rsidRPr="00E6514C" w:rsidRDefault="00AF38F9" w:rsidP="004C00CB">
      <w:pPr>
        <w:pStyle w:val="paper"/>
        <w:ind w:right="-1"/>
        <w:jc w:val="both"/>
        <w:rPr>
          <w:bCs/>
          <w:sz w:val="24"/>
          <w:szCs w:val="24"/>
        </w:rPr>
      </w:pPr>
    </w:p>
    <w:p w14:paraId="7D20DEF8" w14:textId="77777777" w:rsidR="004C707E" w:rsidRDefault="004C707E" w:rsidP="004C00CB">
      <w:pPr>
        <w:jc w:val="both"/>
        <w:rPr>
          <w:rFonts w:ascii="Times New Roman" w:hAnsi="Times New Roman" w:cs="Times New Roman"/>
          <w:b/>
          <w:bCs/>
          <w:lang w:val="en-GB"/>
        </w:rPr>
      </w:pPr>
    </w:p>
    <w:p w14:paraId="7116DBD5" w14:textId="77777777" w:rsidR="001B55AA" w:rsidRDefault="001B55AA" w:rsidP="004C00CB">
      <w:pPr>
        <w:jc w:val="center"/>
        <w:rPr>
          <w:rFonts w:ascii="Times New Roman" w:hAnsi="Times New Roman" w:cs="Times New Roman"/>
        </w:rPr>
      </w:pPr>
    </w:p>
    <w:p w14:paraId="14FC7171" w14:textId="77777777" w:rsidR="001B55AA" w:rsidRPr="00FC3444" w:rsidRDefault="001B55AA" w:rsidP="004C00CB">
      <w:pPr>
        <w:jc w:val="center"/>
        <w:rPr>
          <w:rFonts w:ascii="Times New Roman" w:hAnsi="Times New Roman" w:cs="Times New Roman"/>
          <w:b/>
          <w:bCs/>
          <w:lang w:val="en-GB"/>
        </w:rPr>
      </w:pPr>
    </w:p>
    <w:p w14:paraId="3398C7A8" w14:textId="77777777" w:rsidR="00BC04AC" w:rsidRPr="00E41FE1" w:rsidRDefault="00BC04AC" w:rsidP="004C00CB">
      <w:pPr>
        <w:jc w:val="center"/>
        <w:rPr>
          <w:rFonts w:ascii="Times New Roman" w:hAnsi="Times New Roman" w:cs="Times New Roman"/>
        </w:rPr>
      </w:pPr>
    </w:p>
    <w:sectPr w:rsidR="00BC04AC" w:rsidRPr="00E41FE1" w:rsidSect="00CE65E0">
      <w:headerReference w:type="default" r:id="rId8"/>
      <w:footerReference w:type="default" r:id="rId9"/>
      <w:pgSz w:w="11906" w:h="16838" w:code="9"/>
      <w:pgMar w:top="1701" w:right="1134" w:bottom="1701" w:left="1134" w:header="720" w:footer="720" w:gutter="0"/>
      <w:paperSrc w:first="15" w:other="15"/>
      <w:pgNumType w:start="1"/>
      <w:cols w:space="720"/>
      <w:docGrid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8D17" w14:textId="77777777" w:rsidR="002E23A6" w:rsidRDefault="002E23A6" w:rsidP="00CA047F">
      <w:r>
        <w:separator/>
      </w:r>
    </w:p>
  </w:endnote>
  <w:endnote w:type="continuationSeparator" w:id="0">
    <w:p w14:paraId="24F95B68" w14:textId="77777777" w:rsidR="002E23A6" w:rsidRDefault="002E23A6" w:rsidP="00CA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_Arial">
    <w:altName w:val="Times New Roman"/>
    <w:charset w:val="00"/>
    <w:family w:val="roman"/>
    <w:pitch w:val="variable"/>
  </w:font>
  <w:font w:name="H_Nazanin Bold">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MinionPro-I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65201"/>
      <w:docPartObj>
        <w:docPartGallery w:val="Page Numbers (Bottom of Page)"/>
        <w:docPartUnique/>
      </w:docPartObj>
    </w:sdtPr>
    <w:sdtEndPr>
      <w:rPr>
        <w:rFonts w:ascii="Times New Roman" w:hAnsi="Times New Roman" w:cs="Times New Roman"/>
        <w:noProof/>
      </w:rPr>
    </w:sdtEndPr>
    <w:sdtContent>
      <w:p w14:paraId="3FC58E90" w14:textId="77777777" w:rsidR="00FA4A22" w:rsidRPr="008F575E" w:rsidRDefault="00FA4A22" w:rsidP="008E2B67">
        <w:pPr>
          <w:pStyle w:val="Footer"/>
          <w:jc w:val="center"/>
          <w:rPr>
            <w:rFonts w:ascii="Times New Roman" w:hAnsi="Times New Roman" w:cs="Times New Roman"/>
          </w:rPr>
        </w:pPr>
        <w:r w:rsidRPr="008F575E">
          <w:rPr>
            <w:rFonts w:ascii="Times New Roman" w:hAnsi="Times New Roman" w:cs="Times New Roman"/>
          </w:rPr>
          <w:fldChar w:fldCharType="begin"/>
        </w:r>
        <w:r w:rsidRPr="008F575E">
          <w:rPr>
            <w:rFonts w:ascii="Times New Roman" w:hAnsi="Times New Roman" w:cs="Times New Roman"/>
          </w:rPr>
          <w:instrText xml:space="preserve"> PAGE   \* MERGEFORMAT </w:instrText>
        </w:r>
        <w:r w:rsidRPr="008F575E">
          <w:rPr>
            <w:rFonts w:ascii="Times New Roman" w:hAnsi="Times New Roman" w:cs="Times New Roman"/>
          </w:rPr>
          <w:fldChar w:fldCharType="separate"/>
        </w:r>
        <w:r w:rsidRPr="008F575E">
          <w:rPr>
            <w:rFonts w:ascii="Times New Roman" w:hAnsi="Times New Roman" w:cs="Times New Roman"/>
            <w:noProof/>
          </w:rPr>
          <w:t>2</w:t>
        </w:r>
        <w:r w:rsidRPr="008F575E">
          <w:rPr>
            <w:rFonts w:ascii="Times New Roman" w:hAnsi="Times New Roman" w:cs="Times New Roman"/>
            <w:noProof/>
          </w:rPr>
          <w:fldChar w:fldCharType="end"/>
        </w:r>
      </w:p>
    </w:sdtContent>
  </w:sdt>
  <w:p w14:paraId="18FB026E" w14:textId="77777777" w:rsidR="00BE378A" w:rsidRDefault="00BE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8DA3" w14:textId="77777777" w:rsidR="002E23A6" w:rsidRDefault="002E23A6" w:rsidP="00CA047F">
      <w:r>
        <w:separator/>
      </w:r>
    </w:p>
  </w:footnote>
  <w:footnote w:type="continuationSeparator" w:id="0">
    <w:p w14:paraId="4A11A9FB" w14:textId="77777777" w:rsidR="002E23A6" w:rsidRDefault="002E23A6" w:rsidP="00CA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F8EA" w14:textId="77777777" w:rsidR="00CA047F" w:rsidRPr="00566168" w:rsidRDefault="00CA047F" w:rsidP="00CA047F">
    <w:pPr>
      <w:pStyle w:val="a"/>
      <w:pBdr>
        <w:bottom w:val="single" w:sz="6" w:space="1" w:color="000000"/>
      </w:pBdr>
      <w:tabs>
        <w:tab w:val="clear" w:pos="8306"/>
        <w:tab w:val="right" w:pos="7106"/>
      </w:tabs>
      <w:rPr>
        <w:sz w:val="24"/>
        <w:szCs w:val="24"/>
      </w:rPr>
    </w:pPr>
    <w:r w:rsidRPr="00566168">
      <w:rPr>
        <w:sz w:val="24"/>
        <w:szCs w:val="24"/>
      </w:rPr>
      <w:t>PHYSICAL CHEMISTRY 202</w:t>
    </w:r>
    <w:r w:rsidR="00007A5A">
      <w:rPr>
        <w:sz w:val="24"/>
        <w:szCs w:val="24"/>
      </w:rPr>
      <w:t xml:space="preserve">2 </w:t>
    </w:r>
    <w:r w:rsidRPr="00566168">
      <w:rPr>
        <w:sz w:val="24"/>
        <w:szCs w:val="24"/>
      </w:rPr>
      <w:t>- To be edited by Organizer -</w:t>
    </w:r>
    <w:r w:rsidRPr="00566168">
      <w:rPr>
        <w:sz w:val="24"/>
        <w:szCs w:val="24"/>
      </w:rPr>
      <w:tab/>
    </w:r>
    <w:r w:rsidRPr="00566168">
      <w:rPr>
        <w:sz w:val="24"/>
        <w:szCs w:val="24"/>
      </w:rPr>
      <w:tab/>
    </w:r>
    <w:r w:rsidRPr="00566168">
      <w:rPr>
        <w:sz w:val="24"/>
        <w:szCs w:val="24"/>
      </w:rPr>
      <w:tab/>
    </w:r>
    <w:r w:rsidRPr="00566168">
      <w:rPr>
        <w:sz w:val="24"/>
        <w:szCs w:val="24"/>
      </w:rPr>
      <w:tab/>
      <w:t xml:space="preserve"> </w:t>
    </w:r>
    <w:r w:rsidR="00566168">
      <w:rPr>
        <w:sz w:val="24"/>
        <w:szCs w:val="24"/>
      </w:rPr>
      <w:tab/>
    </w:r>
    <w:r w:rsidR="00566168">
      <w:rPr>
        <w:sz w:val="24"/>
        <w:szCs w:val="24"/>
      </w:rPr>
      <w:tab/>
    </w:r>
    <w:r w:rsidR="00566168">
      <w:rPr>
        <w:sz w:val="24"/>
        <w:szCs w:val="24"/>
      </w:rPr>
      <w:tab/>
    </w:r>
    <w:r w:rsidRPr="00566168">
      <w:rPr>
        <w:sz w:val="24"/>
        <w:szCs w:val="24"/>
      </w:rPr>
      <w:t>X-</w:t>
    </w:r>
    <w:proofErr w:type="spellStart"/>
    <w:r w:rsidRPr="00566168">
      <w:rPr>
        <w:sz w:val="24"/>
        <w:szCs w:val="24"/>
      </w:rPr>
      <w:t>nn</w:t>
    </w:r>
    <w:proofErr w:type="spellEnd"/>
    <w:r w:rsidRPr="00566168">
      <w:rPr>
        <w:sz w:val="24"/>
        <w:szCs w:val="24"/>
      </w:rPr>
      <w:t>-Y</w:t>
    </w:r>
  </w:p>
  <w:p w14:paraId="4FACFD27" w14:textId="77777777" w:rsidR="00CA047F" w:rsidRDefault="00CA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5C648A"/>
    <w:multiLevelType w:val="hybridMultilevel"/>
    <w:tmpl w:val="94A87782"/>
    <w:lvl w:ilvl="0" w:tplc="53E6F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746CD"/>
    <w:multiLevelType w:val="hybridMultilevel"/>
    <w:tmpl w:val="E72AFDC2"/>
    <w:lvl w:ilvl="0" w:tplc="53E6F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08"/>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B"/>
    <w:rsid w:val="00007A5A"/>
    <w:rsid w:val="00011488"/>
    <w:rsid w:val="00067C77"/>
    <w:rsid w:val="000B33E9"/>
    <w:rsid w:val="001B017C"/>
    <w:rsid w:val="001B0903"/>
    <w:rsid w:val="001B55AA"/>
    <w:rsid w:val="001C23D3"/>
    <w:rsid w:val="002351B3"/>
    <w:rsid w:val="00251003"/>
    <w:rsid w:val="002E23A6"/>
    <w:rsid w:val="00387F92"/>
    <w:rsid w:val="003F1C4D"/>
    <w:rsid w:val="0045372B"/>
    <w:rsid w:val="00464D1A"/>
    <w:rsid w:val="00483292"/>
    <w:rsid w:val="004A305F"/>
    <w:rsid w:val="004C00CB"/>
    <w:rsid w:val="004C707E"/>
    <w:rsid w:val="004C7A0B"/>
    <w:rsid w:val="00566168"/>
    <w:rsid w:val="00664F23"/>
    <w:rsid w:val="00712A46"/>
    <w:rsid w:val="007272BE"/>
    <w:rsid w:val="00761DE9"/>
    <w:rsid w:val="007C6799"/>
    <w:rsid w:val="00891149"/>
    <w:rsid w:val="008E2B67"/>
    <w:rsid w:val="008F575E"/>
    <w:rsid w:val="009A547E"/>
    <w:rsid w:val="00A278F8"/>
    <w:rsid w:val="00AF38F9"/>
    <w:rsid w:val="00B76F02"/>
    <w:rsid w:val="00BC04AC"/>
    <w:rsid w:val="00BE378A"/>
    <w:rsid w:val="00BF39BD"/>
    <w:rsid w:val="00C5332A"/>
    <w:rsid w:val="00CA047F"/>
    <w:rsid w:val="00CE65E0"/>
    <w:rsid w:val="00D83B2D"/>
    <w:rsid w:val="00E37FB0"/>
    <w:rsid w:val="00E41FB9"/>
    <w:rsid w:val="00E41FE1"/>
    <w:rsid w:val="00E95CBC"/>
    <w:rsid w:val="00F12707"/>
    <w:rsid w:val="00F371DB"/>
    <w:rsid w:val="00FA4A22"/>
    <w:rsid w:val="00FC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C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03"/>
    <w:pPr>
      <w:suppressAutoHyphens/>
      <w:spacing w:after="0" w:line="240" w:lineRule="auto"/>
    </w:pPr>
    <w:rPr>
      <w:rFonts w:ascii="H_Arial" w:eastAsia="Times New Roman" w:hAnsi="H_Arial" w:cs="H_Nazanin Bold"/>
      <w:sz w:val="24"/>
      <w:szCs w:val="24"/>
      <w:lang w:eastAsia="ar-SA"/>
    </w:rPr>
  </w:style>
  <w:style w:type="paragraph" w:styleId="Heading3">
    <w:name w:val="heading 3"/>
    <w:basedOn w:val="Normal"/>
    <w:next w:val="BodyText"/>
    <w:link w:val="Heading3Char"/>
    <w:qFormat/>
    <w:rsid w:val="00251003"/>
    <w:pPr>
      <w:keepNext/>
      <w:numPr>
        <w:ilvl w:val="2"/>
        <w:numId w:val="1"/>
      </w:numPr>
      <w:tabs>
        <w:tab w:val="clear" w:pos="720"/>
        <w:tab w:val="left" w:pos="426"/>
        <w:tab w:val="left" w:pos="709"/>
      </w:tabs>
      <w:spacing w:before="120"/>
      <w:jc w:val="both"/>
      <w:outlineLvl w:val="2"/>
    </w:pPr>
    <w:rPr>
      <w:rFonts w:ascii="Times New Roman" w:hAnsi="Times New Roman" w:cs="Times New Roman"/>
      <w:b/>
      <w:bCs/>
      <w:sz w:val="22"/>
      <w:szCs w:val="20"/>
    </w:rPr>
  </w:style>
  <w:style w:type="paragraph" w:styleId="Heading4">
    <w:name w:val="heading 4"/>
    <w:basedOn w:val="Normal"/>
    <w:next w:val="BodyText"/>
    <w:link w:val="Heading4Char"/>
    <w:qFormat/>
    <w:rsid w:val="00251003"/>
    <w:pPr>
      <w:keepNext/>
      <w:numPr>
        <w:ilvl w:val="3"/>
        <w:numId w:val="1"/>
      </w:numPr>
      <w:spacing w:before="120"/>
      <w:outlineLvl w:val="3"/>
    </w:pPr>
    <w:rPr>
      <w:rFonts w:ascii="Times New Roman" w:hAnsi="Times New Roman" w:cs="Times New Roman"/>
      <w:b/>
      <w:bCs/>
      <w:sz w:val="22"/>
      <w:szCs w:val="20"/>
    </w:rPr>
  </w:style>
  <w:style w:type="paragraph" w:styleId="Heading5">
    <w:name w:val="heading 5"/>
    <w:basedOn w:val="Normal"/>
    <w:next w:val="BodyText"/>
    <w:link w:val="Heading5Char"/>
    <w:qFormat/>
    <w:rsid w:val="00251003"/>
    <w:pPr>
      <w:keepNext/>
      <w:numPr>
        <w:ilvl w:val="4"/>
        <w:numId w:val="1"/>
      </w:numPr>
      <w:jc w:val="both"/>
      <w:outlineLvl w:val="4"/>
    </w:pPr>
    <w:rPr>
      <w:rFonts w:ascii="Times New Roman" w:hAnsi="Times New Roman" w:cs="Times New Roman"/>
      <w:b/>
      <w:color w:val="000000"/>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7F"/>
    <w:pPr>
      <w:tabs>
        <w:tab w:val="center" w:pos="4680"/>
        <w:tab w:val="right" w:pos="9360"/>
      </w:tabs>
    </w:pPr>
  </w:style>
  <w:style w:type="character" w:customStyle="1" w:styleId="HeaderChar">
    <w:name w:val="Header Char"/>
    <w:basedOn w:val="DefaultParagraphFont"/>
    <w:link w:val="Header"/>
    <w:uiPriority w:val="99"/>
    <w:rsid w:val="00CA047F"/>
  </w:style>
  <w:style w:type="paragraph" w:styleId="Footer">
    <w:name w:val="footer"/>
    <w:basedOn w:val="Normal"/>
    <w:link w:val="FooterChar"/>
    <w:uiPriority w:val="99"/>
    <w:unhideWhenUsed/>
    <w:rsid w:val="00CA047F"/>
    <w:pPr>
      <w:tabs>
        <w:tab w:val="center" w:pos="4680"/>
        <w:tab w:val="right" w:pos="9360"/>
      </w:tabs>
    </w:pPr>
  </w:style>
  <w:style w:type="character" w:customStyle="1" w:styleId="FooterChar">
    <w:name w:val="Footer Char"/>
    <w:basedOn w:val="DefaultParagraphFont"/>
    <w:link w:val="Footer"/>
    <w:uiPriority w:val="99"/>
    <w:rsid w:val="00CA047F"/>
  </w:style>
  <w:style w:type="paragraph" w:customStyle="1" w:styleId="a">
    <w:name w:val="Заглавље"/>
    <w:basedOn w:val="Normal"/>
    <w:next w:val="BodyText"/>
    <w:rsid w:val="00CA047F"/>
    <w:pPr>
      <w:keepNext/>
      <w:tabs>
        <w:tab w:val="center" w:pos="4153"/>
        <w:tab w:val="right" w:pos="8306"/>
      </w:tabs>
      <w:spacing w:before="240" w:after="120"/>
    </w:pPr>
    <w:rPr>
      <w:rFonts w:ascii="Times New Roman" w:eastAsia="Microsoft YaHei" w:hAnsi="Times New Roman" w:cs="Times New Roman"/>
      <w:sz w:val="20"/>
      <w:szCs w:val="20"/>
    </w:rPr>
  </w:style>
  <w:style w:type="paragraph" w:styleId="BodyText">
    <w:name w:val="Body Text"/>
    <w:basedOn w:val="Normal"/>
    <w:link w:val="BodyTextChar"/>
    <w:uiPriority w:val="99"/>
    <w:semiHidden/>
    <w:unhideWhenUsed/>
    <w:rsid w:val="00CA047F"/>
    <w:pPr>
      <w:spacing w:after="120"/>
    </w:pPr>
  </w:style>
  <w:style w:type="character" w:customStyle="1" w:styleId="BodyTextChar">
    <w:name w:val="Body Text Char"/>
    <w:basedOn w:val="DefaultParagraphFont"/>
    <w:link w:val="BodyText"/>
    <w:uiPriority w:val="99"/>
    <w:semiHidden/>
    <w:rsid w:val="00CA047F"/>
  </w:style>
  <w:style w:type="character" w:customStyle="1" w:styleId="Heading3Char">
    <w:name w:val="Heading 3 Char"/>
    <w:basedOn w:val="DefaultParagraphFont"/>
    <w:link w:val="Heading3"/>
    <w:rsid w:val="00251003"/>
    <w:rPr>
      <w:rFonts w:ascii="Times New Roman" w:eastAsia="Times New Roman" w:hAnsi="Times New Roman" w:cs="Times New Roman"/>
      <w:b/>
      <w:bCs/>
      <w:szCs w:val="20"/>
      <w:lang w:eastAsia="ar-SA"/>
    </w:rPr>
  </w:style>
  <w:style w:type="character" w:customStyle="1" w:styleId="Heading4Char">
    <w:name w:val="Heading 4 Char"/>
    <w:basedOn w:val="DefaultParagraphFont"/>
    <w:link w:val="Heading4"/>
    <w:rsid w:val="00251003"/>
    <w:rPr>
      <w:rFonts w:ascii="Times New Roman" w:eastAsia="Times New Roman" w:hAnsi="Times New Roman" w:cs="Times New Roman"/>
      <w:b/>
      <w:bCs/>
      <w:szCs w:val="20"/>
      <w:lang w:eastAsia="ar-SA"/>
    </w:rPr>
  </w:style>
  <w:style w:type="character" w:customStyle="1" w:styleId="Heading5Char">
    <w:name w:val="Heading 5 Char"/>
    <w:basedOn w:val="DefaultParagraphFont"/>
    <w:link w:val="Heading5"/>
    <w:rsid w:val="00251003"/>
    <w:rPr>
      <w:rFonts w:ascii="Times New Roman" w:eastAsia="Times New Roman" w:hAnsi="Times New Roman" w:cs="Times New Roman"/>
      <w:b/>
      <w:color w:val="000000"/>
      <w:szCs w:val="20"/>
      <w:lang w:val="en-AU" w:eastAsia="ar-SA"/>
    </w:rPr>
  </w:style>
  <w:style w:type="character" w:customStyle="1" w:styleId="fig1Char">
    <w:name w:val="fig1 Char"/>
    <w:rsid w:val="00251003"/>
    <w:rPr>
      <w:rFonts w:cs="Times New Roman"/>
      <w:b/>
      <w:i/>
      <w:sz w:val="24"/>
      <w:szCs w:val="24"/>
      <w:lang w:val="en-US" w:eastAsia="ar-SA" w:bidi="ar-SA"/>
    </w:rPr>
  </w:style>
  <w:style w:type="character" w:customStyle="1" w:styleId="fig2Char">
    <w:name w:val="fig2 Char"/>
    <w:rsid w:val="00251003"/>
    <w:rPr>
      <w:rFonts w:cs="Times New Roman"/>
      <w:b/>
      <w:sz w:val="24"/>
      <w:szCs w:val="24"/>
      <w:lang w:val="en-US" w:eastAsia="ar-SA" w:bidi="ar-SA"/>
    </w:rPr>
  </w:style>
  <w:style w:type="paragraph" w:customStyle="1" w:styleId="paper">
    <w:name w:val="paper"/>
    <w:basedOn w:val="Normal"/>
    <w:rsid w:val="00251003"/>
    <w:rPr>
      <w:rFonts w:ascii="Times New Roman" w:hAnsi="Times New Roman" w:cs="Times New Roman"/>
      <w:sz w:val="22"/>
      <w:szCs w:val="22"/>
    </w:rPr>
  </w:style>
  <w:style w:type="character" w:customStyle="1" w:styleId="DefaultParagraphFont2">
    <w:name w:val="Default Paragraph Font2"/>
    <w:rsid w:val="008F575E"/>
  </w:style>
  <w:style w:type="character" w:customStyle="1" w:styleId="tlid-translationtranslation">
    <w:name w:val="tlid-translation translation"/>
    <w:basedOn w:val="DefaultParagraphFont"/>
    <w:rsid w:val="008F575E"/>
  </w:style>
  <w:style w:type="character" w:styleId="Hyperlink">
    <w:name w:val="Hyperlink"/>
    <w:uiPriority w:val="99"/>
    <w:unhideWhenUsed/>
    <w:rsid w:val="008F575E"/>
    <w:rPr>
      <w:color w:val="0563C1"/>
      <w:u w:val="single"/>
    </w:rPr>
  </w:style>
  <w:style w:type="paragraph" w:styleId="NormalWeb">
    <w:name w:val="Normal (Web)"/>
    <w:basedOn w:val="Normal"/>
    <w:uiPriority w:val="99"/>
    <w:unhideWhenUsed/>
    <w:rsid w:val="001B55AA"/>
    <w:pPr>
      <w:suppressAutoHyphens w:val="0"/>
      <w:spacing w:before="100" w:beforeAutospacing="1" w:after="100" w:afterAutospacing="1"/>
    </w:pPr>
    <w:rPr>
      <w:rFonts w:ascii="Times New Roman" w:hAnsi="Times New Roman" w:cs="Times New Roman"/>
      <w:lang w:eastAsia="en-US"/>
    </w:rPr>
  </w:style>
  <w:style w:type="paragraph" w:styleId="ListParagraph">
    <w:name w:val="List Paragraph"/>
    <w:basedOn w:val="Normal"/>
    <w:uiPriority w:val="34"/>
    <w:qFormat/>
    <w:rsid w:val="00AF3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 2022 paper instruction proba</Template>
  <TotalTime>5</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Bojan Šašić</cp:lastModifiedBy>
  <cp:revision>1</cp:revision>
  <dcterms:created xsi:type="dcterms:W3CDTF">2021-12-21T23:34:00Z</dcterms:created>
  <dcterms:modified xsi:type="dcterms:W3CDTF">2021-12-21T23:39:00Z</dcterms:modified>
</cp:coreProperties>
</file>